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B3" w:rsidRPr="00330DB3" w:rsidRDefault="00364500" w:rsidP="006966BC">
      <w:pPr>
        <w:spacing w:before="100" w:beforeAutospacing="1" w:after="100" w:afterAutospacing="1" w:line="240" w:lineRule="auto"/>
        <w:jc w:val="center"/>
        <w:rPr>
          <w:rFonts w:eastAsia="Times New Roman" w:cstheme="minorHAnsi"/>
          <w:b/>
          <w:sz w:val="28"/>
          <w:szCs w:val="28"/>
          <w:lang w:eastAsia="el-GR"/>
        </w:rPr>
      </w:pPr>
      <w:r>
        <w:rPr>
          <w:b/>
          <w:sz w:val="28"/>
          <w:szCs w:val="28"/>
        </w:rPr>
        <w:t>Η ενσωμάτωση της Τ</w:t>
      </w:r>
      <w:r w:rsidRPr="00364500">
        <w:rPr>
          <w:b/>
          <w:sz w:val="28"/>
          <w:szCs w:val="28"/>
        </w:rPr>
        <w:t xml:space="preserve">εχνητής </w:t>
      </w:r>
      <w:r>
        <w:rPr>
          <w:b/>
          <w:sz w:val="28"/>
          <w:szCs w:val="28"/>
        </w:rPr>
        <w:t>Ν</w:t>
      </w:r>
      <w:r w:rsidRPr="00364500">
        <w:rPr>
          <w:b/>
          <w:sz w:val="28"/>
          <w:szCs w:val="28"/>
        </w:rPr>
        <w:t>οημοσύνη</w:t>
      </w:r>
      <w:r>
        <w:rPr>
          <w:b/>
          <w:sz w:val="28"/>
          <w:szCs w:val="28"/>
        </w:rPr>
        <w:t>ς στην Πρωτοβάθμια Εκπαίδευση: Δ</w:t>
      </w:r>
      <w:r w:rsidRPr="00364500">
        <w:rPr>
          <w:b/>
          <w:sz w:val="28"/>
          <w:szCs w:val="28"/>
        </w:rPr>
        <w:t>ιερεύνηση των αντιλήψεων, της ετοιμότητας και των προκλήσεων για τους εκπαιδευτικούς και οι προεκτάσεις για την επαγγελματική τους ανάπτυξη</w:t>
      </w:r>
    </w:p>
    <w:p w:rsidR="006966BC" w:rsidRDefault="00330DB3" w:rsidP="006966BC">
      <w:pPr>
        <w:spacing w:after="0" w:line="240" w:lineRule="auto"/>
        <w:jc w:val="center"/>
        <w:rPr>
          <w:rFonts w:eastAsia="Times New Roman" w:cstheme="minorHAnsi"/>
          <w:lang w:eastAsia="el-GR"/>
        </w:rPr>
      </w:pPr>
      <w:r w:rsidRPr="00330DB3">
        <w:rPr>
          <w:rFonts w:eastAsia="Times New Roman" w:cstheme="minorHAnsi"/>
          <w:b/>
          <w:bCs/>
          <w:sz w:val="24"/>
          <w:szCs w:val="24"/>
          <w:lang w:eastAsia="el-GR"/>
        </w:rPr>
        <w:t>Χατζηπλή Βασιλική</w:t>
      </w:r>
      <w:r w:rsidR="005507C5" w:rsidRPr="005507C5">
        <w:rPr>
          <w:rFonts w:eastAsia="Times New Roman" w:cstheme="minorHAnsi"/>
          <w:lang w:eastAsia="el-GR"/>
        </w:rPr>
        <w:t xml:space="preserve">  </w:t>
      </w:r>
    </w:p>
    <w:p w:rsidR="003557BE" w:rsidRPr="00E42CE2" w:rsidRDefault="003557BE" w:rsidP="003557BE">
      <w:pPr>
        <w:spacing w:after="0" w:line="240" w:lineRule="auto"/>
        <w:jc w:val="center"/>
        <w:outlineLvl w:val="1"/>
        <w:rPr>
          <w:bCs/>
          <w:kern w:val="36"/>
        </w:rPr>
      </w:pPr>
      <w:r>
        <w:rPr>
          <w:bCs/>
          <w:kern w:val="36"/>
        </w:rPr>
        <w:t>Διευθύ</w:t>
      </w:r>
      <w:r w:rsidRPr="00E42CE2">
        <w:rPr>
          <w:bCs/>
          <w:kern w:val="36"/>
        </w:rPr>
        <w:t xml:space="preserve">ντρια </w:t>
      </w:r>
      <w:r>
        <w:rPr>
          <w:bCs/>
          <w:kern w:val="36"/>
        </w:rPr>
        <w:t xml:space="preserve">του </w:t>
      </w:r>
      <w:r w:rsidRPr="00E42CE2">
        <w:rPr>
          <w:bCs/>
          <w:kern w:val="36"/>
        </w:rPr>
        <w:t>21</w:t>
      </w:r>
      <w:r w:rsidRPr="00E42CE2">
        <w:rPr>
          <w:bCs/>
          <w:kern w:val="36"/>
          <w:vertAlign w:val="superscript"/>
        </w:rPr>
        <w:t>ου</w:t>
      </w:r>
      <w:r w:rsidRPr="00E42CE2">
        <w:rPr>
          <w:bCs/>
          <w:kern w:val="36"/>
        </w:rPr>
        <w:t xml:space="preserve"> </w:t>
      </w:r>
      <w:proofErr w:type="spellStart"/>
      <w:r w:rsidRPr="00E42CE2">
        <w:rPr>
          <w:bCs/>
          <w:kern w:val="36"/>
        </w:rPr>
        <w:t>Δημ</w:t>
      </w:r>
      <w:proofErr w:type="spellEnd"/>
      <w:r>
        <w:rPr>
          <w:bCs/>
          <w:kern w:val="36"/>
        </w:rPr>
        <w:t>. Σχ.</w:t>
      </w:r>
      <w:r w:rsidRPr="00E42CE2">
        <w:rPr>
          <w:bCs/>
          <w:kern w:val="36"/>
        </w:rPr>
        <w:t xml:space="preserve"> Βόλου, ΠΕ70 – ΠΕ88.02 – </w:t>
      </w:r>
      <w:r w:rsidRPr="00E42CE2">
        <w:rPr>
          <w:bCs/>
          <w:kern w:val="36"/>
          <w:lang w:val="en-US"/>
        </w:rPr>
        <w:t>M</w:t>
      </w:r>
      <w:r w:rsidRPr="00A06246">
        <w:rPr>
          <w:bCs/>
          <w:kern w:val="36"/>
        </w:rPr>
        <w:t>.</w:t>
      </w:r>
      <w:proofErr w:type="spellStart"/>
      <w:r w:rsidRPr="00E42CE2">
        <w:rPr>
          <w:bCs/>
          <w:kern w:val="36"/>
          <w:lang w:val="en-US"/>
        </w:rPr>
        <w:t>Sc</w:t>
      </w:r>
      <w:proofErr w:type="spellEnd"/>
      <w:r w:rsidRPr="00A06246">
        <w:rPr>
          <w:bCs/>
          <w:kern w:val="36"/>
        </w:rPr>
        <w:t>.</w:t>
      </w:r>
      <w:r w:rsidRPr="00E42CE2">
        <w:rPr>
          <w:bCs/>
          <w:kern w:val="36"/>
        </w:rPr>
        <w:t>,</w:t>
      </w:r>
    </w:p>
    <w:p w:rsidR="00330DB3" w:rsidRDefault="00504302" w:rsidP="006966BC">
      <w:pPr>
        <w:spacing w:after="0" w:line="240" w:lineRule="auto"/>
        <w:jc w:val="center"/>
        <w:rPr>
          <w:rFonts w:eastAsia="Times New Roman" w:cstheme="minorHAnsi"/>
          <w:lang w:eastAsia="el-GR"/>
        </w:rPr>
      </w:pPr>
      <w:hyperlink r:id="rId5" w:history="1">
        <w:r w:rsidR="006966BC" w:rsidRPr="0060500E">
          <w:rPr>
            <w:rStyle w:val="-"/>
            <w:rFonts w:eastAsia="Times New Roman" w:cstheme="minorHAnsi"/>
            <w:lang w:eastAsia="el-GR"/>
          </w:rPr>
          <w:t>chatzipli.v@gmail.com</w:t>
        </w:r>
      </w:hyperlink>
    </w:p>
    <w:p w:rsidR="006966BC" w:rsidRPr="00330DB3" w:rsidRDefault="006966BC" w:rsidP="006966BC">
      <w:pPr>
        <w:spacing w:after="0" w:line="240" w:lineRule="auto"/>
        <w:jc w:val="center"/>
        <w:rPr>
          <w:rFonts w:eastAsia="Times New Roman" w:cstheme="minorHAnsi"/>
          <w:lang w:eastAsia="el-GR"/>
        </w:rPr>
      </w:pP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
          <w:bCs/>
          <w:lang w:eastAsia="el-GR"/>
        </w:rPr>
        <w:t>Περίληψη</w:t>
      </w:r>
    </w:p>
    <w:p w:rsidR="003557BE" w:rsidRDefault="001A233D" w:rsidP="003557BE">
      <w:pPr>
        <w:suppressAutoHyphens/>
        <w:spacing w:after="240" w:line="240" w:lineRule="auto"/>
        <w:ind w:firstLine="284"/>
        <w:jc w:val="both"/>
        <w:rPr>
          <w:rFonts w:ascii="Calibri" w:eastAsia="Times New Roman" w:hAnsi="Calibri" w:cs="Times New Roman"/>
          <w:lang w:eastAsia="zh-CN"/>
        </w:rPr>
      </w:pPr>
      <w:r w:rsidRPr="00D170D7">
        <w:rPr>
          <w:rFonts w:ascii="Calibri" w:eastAsia="Times New Roman" w:hAnsi="Calibri" w:cs="Times New Roman"/>
          <w:lang w:eastAsia="zh-CN"/>
        </w:rPr>
        <w:t xml:space="preserve">Η παρούσα έρευνα επιδιώκει την ενδελεχή διερεύνηση των αντιλήψεων, της </w:t>
      </w:r>
      <w:proofErr w:type="spellStart"/>
      <w:r w:rsidRPr="00D170D7">
        <w:rPr>
          <w:rFonts w:ascii="Calibri" w:eastAsia="Times New Roman" w:hAnsi="Calibri" w:cs="Times New Roman"/>
          <w:lang w:eastAsia="zh-CN"/>
        </w:rPr>
        <w:t>αυτο</w:t>
      </w:r>
      <w:proofErr w:type="spellEnd"/>
      <w:r w:rsidRPr="00D170D7">
        <w:rPr>
          <w:rFonts w:ascii="Calibri" w:eastAsia="Times New Roman" w:hAnsi="Calibri" w:cs="Times New Roman"/>
          <w:lang w:eastAsia="zh-CN"/>
        </w:rPr>
        <w:t>-αντιλαμβανόμενης ετοιμότητας και των υφιστάμενων στάσεων των εκπαιδευτικών πρωτοβάθμιας εκπαίδευσης έναντι της ενσωμάτωσης της Τεχνητής Νοημοσύνης (ΤΝ) στην παιδαγωγική τους πρακτική, αναγνωρίζοντας την κρίσιμη συμβολή τους. Διεξαχθείσα με ποσοτική μεθοδολογία επί δείγματος πεντακοσίων εκπαιδευτικών, η μελέτη αποκαλύπτει ένα μέτριο επίπεδο ετοιμότητας</w:t>
      </w:r>
      <w:r w:rsidR="00D17ED4" w:rsidRPr="00D170D7">
        <w:rPr>
          <w:rFonts w:ascii="Calibri" w:eastAsia="Times New Roman" w:hAnsi="Calibri" w:cs="Times New Roman"/>
          <w:lang w:eastAsia="zh-CN"/>
        </w:rPr>
        <w:t>,</w:t>
      </w:r>
      <w:r w:rsidRPr="00D170D7">
        <w:rPr>
          <w:rFonts w:ascii="Calibri" w:eastAsia="Times New Roman" w:hAnsi="Calibri" w:cs="Times New Roman"/>
          <w:lang w:eastAsia="zh-CN"/>
        </w:rPr>
        <w:t xml:space="preserve"> καθώς μόλις το 25% εκφράζει υψηλό βαθμό αυτοπεποίθησης. Κυρίαρχες προκλήσεις αναδεικνύονται η ανεπάρκεια επαρκούς επαγγελματικής κατάρτισης και η περιορισμένη πρόσβαση σ</w:t>
      </w:r>
      <w:r w:rsidR="00D17ED4" w:rsidRPr="00D170D7">
        <w:rPr>
          <w:rFonts w:ascii="Calibri" w:eastAsia="Times New Roman" w:hAnsi="Calibri" w:cs="Times New Roman"/>
          <w:lang w:eastAsia="zh-CN"/>
        </w:rPr>
        <w:t xml:space="preserve">ε σχετικά εργαλεία και υποδομές, </w:t>
      </w:r>
      <w:r w:rsidRPr="00D170D7">
        <w:rPr>
          <w:rFonts w:ascii="Calibri" w:eastAsia="Times New Roman" w:hAnsi="Calibri" w:cs="Times New Roman"/>
          <w:lang w:eastAsia="zh-CN"/>
        </w:rPr>
        <w:t xml:space="preserve">στοιχεία που συνιστούν συστημικά εμπόδια. Ενώ οι εκπαιδευτικοί αναγνωρίζουν τα δυνητικά οφέλη της ΤΝ για τη μάθηση, διατυπώνουν παράλληλα σημαντικές ανησυχίες ως προς τις επιπτώσεις της. Τα πορίσματα υπογραμμίζουν την επιτακτική ανάγκη στρατηγικού σχεδιασμού και υλοποίησης </w:t>
      </w:r>
      <w:proofErr w:type="spellStart"/>
      <w:r w:rsidRPr="00D170D7">
        <w:rPr>
          <w:rFonts w:ascii="Calibri" w:eastAsia="Times New Roman" w:hAnsi="Calibri" w:cs="Times New Roman"/>
          <w:lang w:eastAsia="zh-CN"/>
        </w:rPr>
        <w:t>στοχευμένων</w:t>
      </w:r>
      <w:proofErr w:type="spellEnd"/>
      <w:r w:rsidRPr="00D170D7">
        <w:rPr>
          <w:rFonts w:ascii="Calibri" w:eastAsia="Times New Roman" w:hAnsi="Calibri" w:cs="Times New Roman"/>
          <w:lang w:eastAsia="zh-CN"/>
        </w:rPr>
        <w:t xml:space="preserve"> προγραμμάτων επαγγελματικής ανάπτυξης. Αυτά οφείλουν να περιλαμβάνουν όχι μόνο την απαραίτητη τεχνική επάρκεια, αλλά και τις ουσιαστικές παιδαγωγικές και ηθικές διαστάσεις της ΤΝ, διαμορφώνοντας ένα συνεκτικό υποστηρικτικό πλαίσιο για την υπεύθυνη και δίκαιη αξιοποίηση της ΤΝ στην εκπαίδευση του μέλλοντος.</w:t>
      </w:r>
    </w:p>
    <w:p w:rsidR="00330DB3" w:rsidRPr="00330DB3" w:rsidRDefault="00330DB3" w:rsidP="003557BE">
      <w:pPr>
        <w:suppressAutoHyphens/>
        <w:spacing w:after="240" w:line="240" w:lineRule="auto"/>
        <w:ind w:firstLine="284"/>
        <w:jc w:val="both"/>
        <w:rPr>
          <w:rFonts w:eastAsia="Times New Roman" w:cstheme="minorHAnsi"/>
          <w:lang w:eastAsia="el-GR"/>
        </w:rPr>
      </w:pPr>
      <w:r w:rsidRPr="00330DB3">
        <w:rPr>
          <w:rFonts w:eastAsia="Times New Roman" w:cstheme="minorHAnsi"/>
          <w:b/>
          <w:bCs/>
          <w:lang w:eastAsia="el-GR"/>
        </w:rPr>
        <w:t>Λέξεις-κλειδιά:</w:t>
      </w:r>
      <w:r w:rsidRPr="00330DB3">
        <w:rPr>
          <w:rFonts w:eastAsia="Times New Roman" w:cstheme="minorHAnsi"/>
          <w:lang w:eastAsia="el-GR"/>
        </w:rPr>
        <w:t xml:space="preserve"> Τεχνητή Νοημοσύνη, πρωτοβάθμια εκπαίδευση, ετοιμότητα εκπαιδευτικών, επαγγελματική ανάπτυξη, στάσεις εκπαιδευτικών.</w:t>
      </w:r>
    </w:p>
    <w:p w:rsidR="00330DB3" w:rsidRPr="00D170D7" w:rsidRDefault="00330DB3" w:rsidP="00D170D7">
      <w:pPr>
        <w:suppressAutoHyphens/>
        <w:spacing w:before="240" w:after="0" w:line="240" w:lineRule="auto"/>
        <w:ind w:firstLine="284"/>
        <w:rPr>
          <w:rFonts w:ascii="Calibri" w:eastAsia="Times New Roman" w:hAnsi="Calibri" w:cs="Calibri"/>
          <w:b/>
          <w:lang w:eastAsia="zh-CN"/>
        </w:rPr>
      </w:pPr>
      <w:r w:rsidRPr="00D170D7">
        <w:rPr>
          <w:rFonts w:ascii="Calibri" w:eastAsia="Times New Roman" w:hAnsi="Calibri" w:cs="Calibri"/>
          <w:b/>
          <w:lang w:eastAsia="zh-CN"/>
        </w:rPr>
        <w:t>Εισαγωγή</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Ο 21ος αιώνας χαρακτηρίζεται ολοένα και περισσότερο από την πρωτοφανή τεχνολογική καινοτομία, με την Τεχνητή Νοημοσύνη (ΤΝ) να αναδεικνύεται ως μια μετασχηματιστική δύναμη σε πληθώρα τομέων, συμπεριλαμβανομένης της εκπαίδευσης (ΟΟΣΑ, 2021·</w:t>
      </w:r>
      <w:r w:rsidR="007032AC">
        <w:rPr>
          <w:rFonts w:eastAsia="Times New Roman" w:cstheme="minorHAnsi"/>
          <w:lang w:eastAsia="el-GR"/>
        </w:rPr>
        <w:t xml:space="preserve"> </w:t>
      </w:r>
      <w:r w:rsidRPr="00330DB3">
        <w:rPr>
          <w:rFonts w:eastAsia="Times New Roman" w:cstheme="minorHAnsi"/>
          <w:lang w:eastAsia="el-GR"/>
        </w:rPr>
        <w:t xml:space="preserve"> European Commission, 2018). Η ΤΝ υπόσχεται να αναδιαμορφώσει τα μαθησιακά περιβάλλοντα, να εξατομικεύσει τη διδασκαλία και να αυτοματοποιήσει διοικητικές εργασίες</w:t>
      </w:r>
      <w:r w:rsidR="007032AC">
        <w:rPr>
          <w:rFonts w:eastAsia="Times New Roman" w:cstheme="minorHAnsi"/>
          <w:lang w:eastAsia="el-GR"/>
        </w:rPr>
        <w:t xml:space="preserve"> (</w:t>
      </w:r>
      <w:proofErr w:type="spellStart"/>
      <w:r w:rsidR="007032AC">
        <w:rPr>
          <w:rFonts w:eastAsia="Times New Roman" w:cstheme="minorHAnsi"/>
          <w:lang w:eastAsia="el-GR"/>
        </w:rPr>
        <w:t>Popenici</w:t>
      </w:r>
      <w:proofErr w:type="spellEnd"/>
      <w:r w:rsidR="007032AC">
        <w:rPr>
          <w:rFonts w:eastAsia="Times New Roman" w:cstheme="minorHAnsi"/>
          <w:lang w:eastAsia="el-GR"/>
        </w:rPr>
        <w:t xml:space="preserve"> &amp; </w:t>
      </w:r>
      <w:proofErr w:type="spellStart"/>
      <w:r w:rsidR="007032AC">
        <w:rPr>
          <w:rFonts w:eastAsia="Times New Roman" w:cstheme="minorHAnsi"/>
          <w:lang w:eastAsia="el-GR"/>
        </w:rPr>
        <w:t>Kerr</w:t>
      </w:r>
      <w:proofErr w:type="spellEnd"/>
      <w:r w:rsidR="007032AC">
        <w:rPr>
          <w:rFonts w:eastAsia="Times New Roman" w:cstheme="minorHAnsi"/>
          <w:lang w:eastAsia="el-GR"/>
        </w:rPr>
        <w:t xml:space="preserve">, 2017, </w:t>
      </w:r>
      <w:proofErr w:type="spellStart"/>
      <w:r w:rsidRPr="00330DB3">
        <w:rPr>
          <w:rFonts w:eastAsia="Times New Roman" w:cstheme="minorHAnsi"/>
          <w:lang w:eastAsia="el-GR"/>
        </w:rPr>
        <w:t>Zawacki-Richter</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xml:space="preserve">., 2019). Ωστόσο, η επιτυχής ενσωμάτωση οποιασδήποτε τεχνολογίας στην τάξη εξαρτάται κρίσιμα από την ετοιμότητα, τις στάσεις και τις ικανότητες των εκπαιδευτικών που καλούνται </w:t>
      </w:r>
      <w:r w:rsidR="007032AC">
        <w:rPr>
          <w:rFonts w:eastAsia="Times New Roman" w:cstheme="minorHAnsi"/>
          <w:lang w:eastAsia="el-GR"/>
        </w:rPr>
        <w:t>να την εφαρμόσουν (</w:t>
      </w:r>
      <w:proofErr w:type="spellStart"/>
      <w:r w:rsidR="007032AC">
        <w:rPr>
          <w:rFonts w:eastAsia="Times New Roman" w:cstheme="minorHAnsi"/>
          <w:lang w:eastAsia="el-GR"/>
        </w:rPr>
        <w:t>Rogers</w:t>
      </w:r>
      <w:proofErr w:type="spellEnd"/>
      <w:r w:rsidR="007032AC">
        <w:rPr>
          <w:rFonts w:eastAsia="Times New Roman" w:cstheme="minorHAnsi"/>
          <w:lang w:eastAsia="el-GR"/>
        </w:rPr>
        <w:t>, 2003,</w:t>
      </w:r>
      <w:r w:rsidRPr="00330DB3">
        <w:rPr>
          <w:rFonts w:eastAsia="Times New Roman" w:cstheme="minorHAnsi"/>
          <w:lang w:eastAsia="el-GR"/>
        </w:rPr>
        <w:t xml:space="preserve"> </w:t>
      </w:r>
      <w:proofErr w:type="spellStart"/>
      <w:r w:rsidRPr="00330DB3">
        <w:rPr>
          <w:rFonts w:eastAsia="Times New Roman" w:cstheme="minorHAnsi"/>
          <w:lang w:eastAsia="el-GR"/>
        </w:rPr>
        <w:t>Ertmer</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Ottenbreit-Leftwich</w:t>
      </w:r>
      <w:proofErr w:type="spellEnd"/>
      <w:r w:rsidRPr="00330DB3">
        <w:rPr>
          <w:rFonts w:eastAsia="Times New Roman" w:cstheme="minorHAnsi"/>
          <w:lang w:eastAsia="el-GR"/>
        </w:rPr>
        <w:t>, 2010). Αυτό είναι ιδιαιτέρως σημαντικό για την πρωτοβάθμια εκπαίδευση, όπου ο θεμελιώδης χαρακτήρας της μάθησης και τα μοναδικά αναπτυξιακά στάδια των μικρών παιδιών επιβάλλουν μια προσεκτική και παιδαγωγικά ορθή προσέγγιση στην τεχνολογική ενσωμάτωση (</w:t>
      </w:r>
      <w:proofErr w:type="spellStart"/>
      <w:r w:rsidRPr="00330DB3">
        <w:rPr>
          <w:rFonts w:eastAsia="Times New Roman" w:cstheme="minorHAnsi"/>
          <w:lang w:eastAsia="el-GR"/>
        </w:rPr>
        <w:t>Mishra</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Koehler</w:t>
      </w:r>
      <w:proofErr w:type="spellEnd"/>
      <w:r w:rsidRPr="00330DB3">
        <w:rPr>
          <w:rFonts w:eastAsia="Times New Roman" w:cstheme="minorHAnsi"/>
          <w:lang w:eastAsia="el-GR"/>
        </w:rPr>
        <w:t>, 2006).</w:t>
      </w: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Παρά το αυξανόμενο ενδιαφέρον για την ΤΝ στην εκπαίδευση, υφίσταται ένα σημαντικό κενό στη βιβλιογραφία όσον αφορά τις προοπτικές των εκπαιδευτικών πρωτοβάθμιας εκπαίδευσης σχετικά με τον ρόλο της ΤΝ στην καθημερινή παιδαγωγική τους πρακτική. Η υπάρχουσα έρευνα συχνά επικεντρώνεται σε τεχνικές πτυχές των εργαλείων ΤΝ ή στον αντίκτυπό τους στα μαθησιακά αποτελέσματα των μαθητών, παραβλέποντας συχνά τις κρίσιμες γνώσεις από τους χρήστες της πρώτης γραμμής – τους ίδιους τους εκπαιδευτικούς (</w:t>
      </w:r>
      <w:proofErr w:type="spellStart"/>
      <w:r w:rsidRPr="00330DB3">
        <w:rPr>
          <w:rFonts w:eastAsia="Times New Roman" w:cstheme="minorHAnsi"/>
          <w:lang w:eastAsia="el-GR"/>
        </w:rPr>
        <w:t>Luckin</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xml:space="preserve">., 2016). Η κατανόηση της ετοιμότητας των εκπαιδευτικών, των ειδικών </w:t>
      </w:r>
      <w:r w:rsidRPr="00330DB3">
        <w:rPr>
          <w:rFonts w:eastAsia="Times New Roman" w:cstheme="minorHAnsi"/>
          <w:lang w:eastAsia="el-GR"/>
        </w:rPr>
        <w:lastRenderedPageBreak/>
        <w:t>προκλήσεων που αντιλαμβάνονται και των υποκείμενων στάσεών τους είναι πρωταρχικής σημασίας για τον σχεδιασμό αποτελεσματικών πρωτοβουλιών επαγγελματικής ανάπτυξης και υποστηρικτικών εκπαιδευτικών πολιτικών (UNESCO, 2021).</w:t>
      </w:r>
    </w:p>
    <w:p w:rsidR="001F1D39" w:rsidRPr="00DC5E42" w:rsidRDefault="001F1D39" w:rsidP="00DC5E42">
      <w:pPr>
        <w:suppressAutoHyphens/>
        <w:spacing w:before="240" w:after="0" w:line="240" w:lineRule="auto"/>
        <w:ind w:firstLine="284"/>
        <w:rPr>
          <w:rFonts w:ascii="Calibri" w:eastAsia="Times New Roman" w:hAnsi="Calibri" w:cs="Calibri"/>
          <w:b/>
          <w:lang w:eastAsia="zh-CN"/>
        </w:rPr>
      </w:pPr>
      <w:r w:rsidRPr="00DC5E42">
        <w:rPr>
          <w:rFonts w:ascii="Calibri" w:eastAsia="Times New Roman" w:hAnsi="Calibri" w:cs="Calibri"/>
          <w:b/>
          <w:lang w:eastAsia="zh-CN"/>
        </w:rPr>
        <w:t xml:space="preserve">Σκοπός της μελέτης </w:t>
      </w:r>
    </w:p>
    <w:p w:rsidR="006966BC"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Η παρούσα μελέτη αποσκοπεί στην κάλυψη αυτού του ερευνητικού κενού, διερευνώντας ποσοτικά τις αντιλήψεις των εκπαιδευτικών πρωτοβάθμιας εκπαίδευσης σχετικά με την ΤΝ. Εστιάζοντας αποκλειστικά στην προοπτική των εκπαιδευτικών, η έρευνα αυτή επιδιώκει να παράσχει μετρήσιμες γνώσεις για την προώθηση μιας πιο επιτυχημένης και ανθρωποκεντρικής ενσωμάτωσης της ΤΝ σε περιβάλλοντα πρωτοβάθμιας εκπαίδευσης.</w:t>
      </w:r>
    </w:p>
    <w:p w:rsidR="00330DB3" w:rsidRPr="00330DB3" w:rsidRDefault="00994267" w:rsidP="006966BC">
      <w:pPr>
        <w:spacing w:after="0" w:line="240" w:lineRule="auto"/>
        <w:ind w:firstLine="284"/>
        <w:jc w:val="both"/>
        <w:rPr>
          <w:rFonts w:eastAsia="Times New Roman" w:cstheme="minorHAnsi"/>
          <w:lang w:eastAsia="el-GR"/>
        </w:rPr>
      </w:pPr>
      <w:r w:rsidRPr="007317C4">
        <w:rPr>
          <w:rFonts w:eastAsia="Times New Roman" w:cstheme="minorHAnsi"/>
          <w:bCs/>
          <w:lang w:eastAsia="el-GR"/>
        </w:rPr>
        <w:t>Ερευνητικά ε</w:t>
      </w:r>
      <w:r w:rsidR="00330DB3" w:rsidRPr="00330DB3">
        <w:rPr>
          <w:rFonts w:eastAsia="Times New Roman" w:cstheme="minorHAnsi"/>
          <w:bCs/>
          <w:lang w:eastAsia="el-GR"/>
        </w:rPr>
        <w:t>ρωτήματα:</w:t>
      </w:r>
    </w:p>
    <w:p w:rsidR="00330DB3" w:rsidRPr="00330DB3" w:rsidRDefault="00330DB3" w:rsidP="006B0430">
      <w:pPr>
        <w:numPr>
          <w:ilvl w:val="0"/>
          <w:numId w:val="1"/>
        </w:numPr>
        <w:tabs>
          <w:tab w:val="clear" w:pos="720"/>
          <w:tab w:val="num" w:pos="709"/>
        </w:tabs>
        <w:spacing w:after="0" w:line="240" w:lineRule="auto"/>
        <w:ind w:left="567" w:hanging="283"/>
        <w:jc w:val="both"/>
        <w:rPr>
          <w:rFonts w:eastAsia="Times New Roman" w:cstheme="minorHAnsi"/>
          <w:lang w:eastAsia="el-GR"/>
        </w:rPr>
      </w:pPr>
      <w:r w:rsidRPr="00330DB3">
        <w:rPr>
          <w:rFonts w:eastAsia="Times New Roman" w:cstheme="minorHAnsi"/>
          <w:lang w:eastAsia="el-GR"/>
        </w:rPr>
        <w:t>Ποιες είναι οι αντιλήψεις των εκπαιδευτικών πρωτοβάθμιας εκπαίδευσης αναφορικά με την ετοιμότητά τους, τις αντιλαμβανόμενες προκλήσεις και τις στάσεις τους απέναντι στην ενσωμάτωση της Τεχνητής Νοημοσύνης στον παιδαγωγικό τους σχεδιασμό και την υλοποίηση;</w:t>
      </w:r>
    </w:p>
    <w:p w:rsidR="00330DB3" w:rsidRPr="00330DB3" w:rsidRDefault="00330DB3" w:rsidP="006B0430">
      <w:pPr>
        <w:numPr>
          <w:ilvl w:val="0"/>
          <w:numId w:val="1"/>
        </w:numPr>
        <w:tabs>
          <w:tab w:val="clear" w:pos="720"/>
          <w:tab w:val="num" w:pos="709"/>
        </w:tabs>
        <w:spacing w:after="0" w:line="240" w:lineRule="auto"/>
        <w:ind w:left="567" w:hanging="283"/>
        <w:jc w:val="both"/>
        <w:rPr>
          <w:rFonts w:eastAsia="Times New Roman" w:cstheme="minorHAnsi"/>
          <w:lang w:eastAsia="el-GR"/>
        </w:rPr>
      </w:pPr>
      <w:r w:rsidRPr="00330DB3">
        <w:rPr>
          <w:rFonts w:eastAsia="Times New Roman" w:cstheme="minorHAnsi"/>
          <w:lang w:eastAsia="el-GR"/>
        </w:rPr>
        <w:t>Πώς συσχετίζονται τα δημογραφικά χαρακτηριστικά (π.χ., ηλικία, φύλο, χρόνια εμπειρίας) με τις αντιλήψεις των εκπαιδευτικών πρωτοβάθμιας εκπαίδευσης για την ετοιμότητα, τις αντιλαμβανόμενες προκλήσεις και τις στάσεις τους απέναντι στην ΤΝ;</w:t>
      </w:r>
    </w:p>
    <w:p w:rsidR="00330DB3" w:rsidRDefault="00330DB3" w:rsidP="006B0430">
      <w:pPr>
        <w:numPr>
          <w:ilvl w:val="0"/>
          <w:numId w:val="1"/>
        </w:numPr>
        <w:tabs>
          <w:tab w:val="clear" w:pos="720"/>
          <w:tab w:val="num" w:pos="709"/>
        </w:tabs>
        <w:spacing w:after="0" w:line="240" w:lineRule="auto"/>
        <w:ind w:left="567" w:hanging="283"/>
        <w:jc w:val="both"/>
        <w:rPr>
          <w:rFonts w:eastAsia="Times New Roman" w:cstheme="minorHAnsi"/>
          <w:lang w:eastAsia="el-GR"/>
        </w:rPr>
      </w:pPr>
      <w:r w:rsidRPr="00330DB3">
        <w:rPr>
          <w:rFonts w:eastAsia="Times New Roman" w:cstheme="minorHAnsi"/>
          <w:lang w:eastAsia="el-GR"/>
        </w:rPr>
        <w:t xml:space="preserve">Ποιες είναι οι προεκτάσεις των παραπάνω αντιλήψεων για τον σχεδιασμό </w:t>
      </w:r>
      <w:proofErr w:type="spellStart"/>
      <w:r w:rsidRPr="00330DB3">
        <w:rPr>
          <w:rFonts w:eastAsia="Times New Roman" w:cstheme="minorHAnsi"/>
          <w:lang w:eastAsia="el-GR"/>
        </w:rPr>
        <w:t>στοχευμένων</w:t>
      </w:r>
      <w:proofErr w:type="spellEnd"/>
      <w:r w:rsidRPr="00330DB3">
        <w:rPr>
          <w:rFonts w:eastAsia="Times New Roman" w:cstheme="minorHAnsi"/>
          <w:lang w:eastAsia="el-GR"/>
        </w:rPr>
        <w:t xml:space="preserve"> και αποτελεσματικών προγραμμάτων επαγγελματικής ανάπτυξης στην ΤΝ για τους εκπαιδευτικούς πρωτοβάθμιας εκπαίδευσης;</w:t>
      </w:r>
    </w:p>
    <w:p w:rsidR="001F1D39" w:rsidRPr="00D170D7" w:rsidRDefault="001F1D39" w:rsidP="00D170D7">
      <w:pPr>
        <w:suppressAutoHyphens/>
        <w:spacing w:before="240" w:after="0" w:line="240" w:lineRule="auto"/>
        <w:ind w:firstLine="284"/>
        <w:rPr>
          <w:rFonts w:ascii="Calibri" w:eastAsia="Times New Roman" w:hAnsi="Calibri" w:cs="Calibri"/>
          <w:i/>
          <w:lang w:eastAsia="zh-CN"/>
        </w:rPr>
      </w:pPr>
      <w:r w:rsidRPr="00D170D7">
        <w:rPr>
          <w:rFonts w:ascii="Calibri" w:eastAsia="Times New Roman" w:hAnsi="Calibri" w:cs="Calibri"/>
          <w:i/>
          <w:lang w:eastAsia="zh-CN"/>
        </w:rPr>
        <w:t xml:space="preserve">Βιβλιογραφική ανασκόπηση </w:t>
      </w:r>
    </w:p>
    <w:p w:rsidR="00330DB3" w:rsidRPr="00330DB3" w:rsidRDefault="00330DB3" w:rsidP="000117E9">
      <w:pPr>
        <w:spacing w:after="0" w:line="240" w:lineRule="auto"/>
        <w:ind w:firstLine="284"/>
        <w:jc w:val="both"/>
        <w:rPr>
          <w:rFonts w:eastAsia="Times New Roman" w:cstheme="minorHAnsi"/>
          <w:lang w:eastAsia="el-GR"/>
        </w:rPr>
      </w:pPr>
      <w:r w:rsidRPr="00330DB3">
        <w:rPr>
          <w:rFonts w:eastAsia="Times New Roman" w:cstheme="minorHAnsi"/>
          <w:lang w:eastAsia="el-GR"/>
        </w:rPr>
        <w:t>Η ενσωμάτωση της τεχνολογίας στην εκπαίδευση αποτελεί αντικείμενο εκτεταμένης έρευνας εδώ και δεκαετίες, εξελισσόμενη από την πρώιμη υπολογιστικά υποβοηθούμενη διδασκαλία σε ψηφιακές πλατφόρμες μάθησης και, πλέον, ολοένα και περισσότερο, σε εργαλεία που βασίζονται στην ΤΝ (</w:t>
      </w:r>
      <w:proofErr w:type="spellStart"/>
      <w:r w:rsidRPr="00330DB3">
        <w:rPr>
          <w:rFonts w:eastAsia="Times New Roman" w:cstheme="minorHAnsi"/>
          <w:lang w:eastAsia="el-GR"/>
        </w:rPr>
        <w:t>Selwyn</w:t>
      </w:r>
      <w:proofErr w:type="spellEnd"/>
      <w:r w:rsidRPr="00330DB3">
        <w:rPr>
          <w:rFonts w:eastAsia="Times New Roman" w:cstheme="minorHAnsi"/>
          <w:lang w:eastAsia="el-GR"/>
        </w:rPr>
        <w:t>, 2019). Η βιβλιογραφία σχετικά με την ΤΝ στην εκπαίδευση υπογραμμίζει τις δυνατότητές της σε διάφορους τομείς, συμπεριλαμβανομένων των προσαρμοστικών συστημάτων μάθησης, των ευφυών συστημάτων διδασκαλίας, της αυτοματοποιημένης αξιολόγησης και της διοικητικής υποστήριξης (</w:t>
      </w:r>
      <w:proofErr w:type="spellStart"/>
      <w:r w:rsidRPr="00330DB3">
        <w:rPr>
          <w:rFonts w:eastAsia="Times New Roman" w:cstheme="minorHAnsi"/>
          <w:lang w:eastAsia="el-GR"/>
        </w:rPr>
        <w:t>Roll</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Wylie</w:t>
      </w:r>
      <w:proofErr w:type="spellEnd"/>
      <w:r w:rsidRPr="00330DB3">
        <w:rPr>
          <w:rFonts w:eastAsia="Times New Roman" w:cstheme="minorHAnsi"/>
          <w:lang w:eastAsia="el-GR"/>
        </w:rPr>
        <w:t xml:space="preserve">, 2016· </w:t>
      </w:r>
      <w:proofErr w:type="spellStart"/>
      <w:r w:rsidRPr="00330DB3">
        <w:rPr>
          <w:rFonts w:eastAsia="Times New Roman" w:cstheme="minorHAnsi"/>
          <w:lang w:eastAsia="el-GR"/>
        </w:rPr>
        <w:t>Du</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Boulay</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2018). Ωστόσο, η πλειοψηφία αυτών των μελετών τείνει να επικεντρώνεται στην τριτοβάθμια εκπαίδευση ή σε δευτεροβάθμια περιβάλλοντα, με λιγότερη έμφαση στις ειδικές αποχρώσεις της πρωτοβάθμιας εκπαίδευσης (</w:t>
      </w:r>
      <w:proofErr w:type="spellStart"/>
      <w:r w:rsidRPr="00330DB3">
        <w:rPr>
          <w:rFonts w:eastAsia="Times New Roman" w:cstheme="minorHAnsi"/>
          <w:lang w:eastAsia="el-GR"/>
        </w:rPr>
        <w:t>Siu</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Lei</w:t>
      </w:r>
      <w:proofErr w:type="spellEnd"/>
      <w:r w:rsidRPr="00330DB3">
        <w:rPr>
          <w:rFonts w:eastAsia="Times New Roman" w:cstheme="minorHAnsi"/>
          <w:lang w:eastAsia="el-GR"/>
        </w:rPr>
        <w:t>, 2023).</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Ετοιμότητα Εκπαιδευτικών και Ενσωμάτωση Τεχνολογίας:</w:t>
      </w:r>
      <w:r w:rsidRPr="00330DB3">
        <w:rPr>
          <w:rFonts w:eastAsia="Times New Roman" w:cstheme="minorHAnsi"/>
          <w:lang w:eastAsia="el-GR"/>
        </w:rPr>
        <w:t xml:space="preserve"> Μελέτες δείχνουν σταθερά ότι η ετοιμότητα των εκπαιδευτικών αποτελεί κρίσιμο παράγοντα για την επιτυχή ενσωμάτωση της τεχνολογίας (</w:t>
      </w:r>
      <w:proofErr w:type="spellStart"/>
      <w:r w:rsidRPr="00330DB3">
        <w:rPr>
          <w:rFonts w:eastAsia="Times New Roman" w:cstheme="minorHAnsi"/>
          <w:lang w:eastAsia="el-GR"/>
        </w:rPr>
        <w:t>Rogers</w:t>
      </w:r>
      <w:proofErr w:type="spellEnd"/>
      <w:r w:rsidRPr="00330DB3">
        <w:rPr>
          <w:rFonts w:eastAsia="Times New Roman" w:cstheme="minorHAnsi"/>
          <w:lang w:eastAsia="el-GR"/>
        </w:rPr>
        <w:t>, 2003). Παράγοντες όπως η τεχνολογική παιδαγωγική γνώση περιεχομένου (TPACK) (</w:t>
      </w:r>
      <w:proofErr w:type="spellStart"/>
      <w:r w:rsidRPr="00330DB3">
        <w:rPr>
          <w:rFonts w:eastAsia="Times New Roman" w:cstheme="minorHAnsi"/>
          <w:lang w:eastAsia="el-GR"/>
        </w:rPr>
        <w:t>Koehler</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Mishra</w:t>
      </w:r>
      <w:proofErr w:type="spellEnd"/>
      <w:r w:rsidRPr="00330DB3">
        <w:rPr>
          <w:rFonts w:eastAsia="Times New Roman" w:cstheme="minorHAnsi"/>
          <w:lang w:eastAsia="el-GR"/>
        </w:rPr>
        <w:t xml:space="preserve">, 2009), η </w:t>
      </w:r>
      <w:proofErr w:type="spellStart"/>
      <w:r w:rsidRPr="00330DB3">
        <w:rPr>
          <w:rFonts w:eastAsia="Times New Roman" w:cstheme="minorHAnsi"/>
          <w:lang w:eastAsia="el-GR"/>
        </w:rPr>
        <w:t>αυτοαποτελεσματικότητα</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Bandura</w:t>
      </w:r>
      <w:proofErr w:type="spellEnd"/>
      <w:r w:rsidRPr="00330DB3">
        <w:rPr>
          <w:rFonts w:eastAsia="Times New Roman" w:cstheme="minorHAnsi"/>
          <w:lang w:eastAsia="el-GR"/>
        </w:rPr>
        <w:t>, 1997</w:t>
      </w:r>
      <w:r w:rsidR="00E27EFE" w:rsidRPr="00E27EFE">
        <w:rPr>
          <w:rFonts w:eastAsia="Times New Roman" w:cstheme="minorHAnsi"/>
          <w:lang w:eastAsia="el-GR"/>
        </w:rPr>
        <w:t xml:space="preserve">, </w:t>
      </w:r>
      <w:proofErr w:type="spellStart"/>
      <w:r w:rsidRPr="00330DB3">
        <w:rPr>
          <w:rFonts w:eastAsia="Times New Roman" w:cstheme="minorHAnsi"/>
          <w:lang w:eastAsia="el-GR"/>
        </w:rPr>
        <w:t>Holden</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Rada</w:t>
      </w:r>
      <w:proofErr w:type="spellEnd"/>
      <w:r w:rsidRPr="00330DB3">
        <w:rPr>
          <w:rFonts w:eastAsia="Times New Roman" w:cstheme="minorHAnsi"/>
          <w:lang w:eastAsia="el-GR"/>
        </w:rPr>
        <w:t>, 2011) και η πρόσβαση σε ευκαιρίες επαγγελματικής ανάπτυξης επηρεάζουν σημαντικά την προθυμία και την ικανότητα των εκπαιδευτικών να ενσωματώσουν νέες τεχνολογίες (</w:t>
      </w:r>
      <w:proofErr w:type="spellStart"/>
      <w:r w:rsidRPr="00330DB3">
        <w:rPr>
          <w:rFonts w:eastAsia="Times New Roman" w:cstheme="minorHAnsi"/>
          <w:lang w:eastAsia="el-GR"/>
        </w:rPr>
        <w:t>Ertmer</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Ottenbreit-Leftwich</w:t>
      </w:r>
      <w:proofErr w:type="spellEnd"/>
      <w:r w:rsidRPr="00330DB3">
        <w:rPr>
          <w:rFonts w:eastAsia="Times New Roman" w:cstheme="minorHAnsi"/>
          <w:lang w:eastAsia="el-GR"/>
        </w:rPr>
        <w:t xml:space="preserve">, 2010· </w:t>
      </w:r>
      <w:proofErr w:type="spellStart"/>
      <w:r w:rsidRPr="00330DB3">
        <w:rPr>
          <w:rFonts w:eastAsia="Times New Roman" w:cstheme="minorHAnsi"/>
          <w:lang w:eastAsia="el-GR"/>
        </w:rPr>
        <w:t>Fullan</w:t>
      </w:r>
      <w:proofErr w:type="spellEnd"/>
      <w:r w:rsidRPr="00330DB3">
        <w:rPr>
          <w:rFonts w:eastAsia="Times New Roman" w:cstheme="minorHAnsi"/>
          <w:lang w:eastAsia="el-GR"/>
        </w:rPr>
        <w:t xml:space="preserve">, 2016). Στο πλαίσιο της ΤΝ, η ετοιμότητα υπερβαίνει τις απλές τεχνικές δεξιότητες και περιλαμβάνει την κατανόηση των ηθικών επιπτώσεων της ΤΝ, της </w:t>
      </w:r>
      <w:proofErr w:type="spellStart"/>
      <w:r w:rsidRPr="00330DB3">
        <w:rPr>
          <w:rFonts w:eastAsia="Times New Roman" w:cstheme="minorHAnsi"/>
          <w:lang w:eastAsia="el-GR"/>
        </w:rPr>
        <w:t>ιδιωτικότητας</w:t>
      </w:r>
      <w:proofErr w:type="spellEnd"/>
      <w:r w:rsidRPr="00330DB3">
        <w:rPr>
          <w:rFonts w:eastAsia="Times New Roman" w:cstheme="minorHAnsi"/>
          <w:lang w:eastAsia="el-GR"/>
        </w:rPr>
        <w:t xml:space="preserve"> των δεδομένων και των πιθανών προκαταλήψεων (</w:t>
      </w:r>
      <w:proofErr w:type="spellStart"/>
      <w:r w:rsidRPr="00330DB3">
        <w:rPr>
          <w:rFonts w:eastAsia="Times New Roman" w:cstheme="minorHAnsi"/>
          <w:lang w:eastAsia="el-GR"/>
        </w:rPr>
        <w:t>Crawford</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xml:space="preserve">., 2019· </w:t>
      </w:r>
      <w:proofErr w:type="spellStart"/>
      <w:r w:rsidRPr="00330DB3">
        <w:rPr>
          <w:rFonts w:eastAsia="Times New Roman" w:cstheme="minorHAnsi"/>
          <w:lang w:eastAsia="el-GR"/>
        </w:rPr>
        <w:t>Zawacki-Richter</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2019).</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Προκλήσεις της Ενσωμάτωσης της ΤΝ στην Εκπαίδευση:</w:t>
      </w:r>
      <w:r w:rsidRPr="00330DB3">
        <w:rPr>
          <w:rFonts w:eastAsia="Times New Roman" w:cstheme="minorHAnsi"/>
          <w:lang w:eastAsia="el-GR"/>
        </w:rPr>
        <w:t xml:space="preserve"> Παρά τις υποσχέσεις της, η ενσωμάτωση της ΤΝ στην εκπαίδευση αντιμετωπίζει πολυάριθμες προκλήσεις. Αυτές περιλαμβάνουν την έλλειψη επαρκούς υποδομής, την ανεπαρκή κατάρτιση των εκπαιδευτικών, τις ανησυχίες σχετικά με την </w:t>
      </w:r>
      <w:proofErr w:type="spellStart"/>
      <w:r w:rsidRPr="00330DB3">
        <w:rPr>
          <w:rFonts w:eastAsia="Times New Roman" w:cstheme="minorHAnsi"/>
          <w:lang w:eastAsia="el-GR"/>
        </w:rPr>
        <w:t>ιδιωτικότητα</w:t>
      </w:r>
      <w:proofErr w:type="spellEnd"/>
      <w:r w:rsidRPr="00330DB3">
        <w:rPr>
          <w:rFonts w:eastAsia="Times New Roman" w:cstheme="minorHAnsi"/>
          <w:lang w:eastAsia="el-GR"/>
        </w:rPr>
        <w:t xml:space="preserve"> και την ασφάλεια των δεδομένων, την αλγοριθμική προκατάληψη και τις ηθικές επιπτώσεις της λήψης αποφάσεων από την ΤΝ (</w:t>
      </w:r>
      <w:proofErr w:type="spellStart"/>
      <w:r w:rsidRPr="00330DB3">
        <w:rPr>
          <w:rFonts w:eastAsia="Times New Roman" w:cstheme="minorHAnsi"/>
          <w:lang w:eastAsia="el-GR"/>
        </w:rPr>
        <w:t>Tuomi</w:t>
      </w:r>
      <w:proofErr w:type="spellEnd"/>
      <w:r w:rsidRPr="00330DB3">
        <w:rPr>
          <w:rFonts w:eastAsia="Times New Roman" w:cstheme="minorHAnsi"/>
          <w:lang w:eastAsia="el-GR"/>
        </w:rPr>
        <w:t xml:space="preserve">, 2018· </w:t>
      </w:r>
      <w:proofErr w:type="spellStart"/>
      <w:r w:rsidRPr="00330DB3">
        <w:rPr>
          <w:rFonts w:eastAsia="Times New Roman" w:cstheme="minorHAnsi"/>
          <w:lang w:eastAsia="el-GR"/>
        </w:rPr>
        <w:t>Holmes</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xml:space="preserve">., 2021). Ειδικά για την πρωτοβάθμια εκπαίδευση, οι προκλήσεις μπορεί επίσης να περιλαμβάνουν την καταλληλότητα των εργαλείων ΤΝ για την ηλικία, τον πιθανό αντίκτυπο στην κοινωνική αλληλεπίδραση και τη μάθηση μέσω παιχνιδιού, καθώς </w:t>
      </w:r>
      <w:r w:rsidRPr="00330DB3">
        <w:rPr>
          <w:rFonts w:eastAsia="Times New Roman" w:cstheme="minorHAnsi"/>
          <w:lang w:eastAsia="el-GR"/>
        </w:rPr>
        <w:lastRenderedPageBreak/>
        <w:t>και την ανάγκη για συνεχή ανθρώπινη εποπτεία (</w:t>
      </w:r>
      <w:proofErr w:type="spellStart"/>
      <w:r w:rsidRPr="00330DB3">
        <w:rPr>
          <w:rFonts w:eastAsia="Times New Roman" w:cstheme="minorHAnsi"/>
          <w:lang w:eastAsia="el-GR"/>
        </w:rPr>
        <w:t>Blikstein</w:t>
      </w:r>
      <w:proofErr w:type="spellEnd"/>
      <w:r w:rsidRPr="00330DB3">
        <w:rPr>
          <w:rFonts w:eastAsia="Times New Roman" w:cstheme="minorHAnsi"/>
          <w:lang w:eastAsia="el-GR"/>
        </w:rPr>
        <w:t>, 2013</w:t>
      </w:r>
      <w:r w:rsidR="00E27EFE" w:rsidRPr="00F57EA7">
        <w:rPr>
          <w:rFonts w:eastAsia="Times New Roman" w:cstheme="minorHAnsi"/>
          <w:lang w:eastAsia="el-GR"/>
        </w:rPr>
        <w:t>,</w:t>
      </w:r>
      <w:r w:rsidRPr="00330DB3">
        <w:rPr>
          <w:rFonts w:eastAsia="Times New Roman" w:cstheme="minorHAnsi"/>
          <w:lang w:eastAsia="el-GR"/>
        </w:rPr>
        <w:t xml:space="preserve"> European Commission, 2022).</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Στάσεις Εκπαιδευτικών απέναντι στην ΤΝ:</w:t>
      </w:r>
      <w:r w:rsidRPr="00330DB3">
        <w:rPr>
          <w:rFonts w:eastAsia="Times New Roman" w:cstheme="minorHAnsi"/>
          <w:lang w:eastAsia="el-GR"/>
        </w:rPr>
        <w:t xml:space="preserve"> Οι στάσεις των εκπαιδευτικών απέναντι στις νέες τεχνολογίες είναι κρίσιμοι προγνωστικοί παράγοντες για την υιοθέτηση και την αποτελεσματική χρήση τους. Έρευνες δείχνουν ότι οι θετικές στάσεις, σε συνδυασμό με την αντιλαμβανόμενη χρησιμότητα και την ευκολία χρήσης (όπως περιγράφεται στο Μοντέλο Αποδοχής Τεχνολογίας - </w:t>
      </w:r>
      <w:proofErr w:type="spellStart"/>
      <w:r w:rsidRPr="00330DB3">
        <w:rPr>
          <w:rFonts w:eastAsia="Times New Roman" w:cstheme="minorHAnsi"/>
          <w:lang w:eastAsia="el-GR"/>
        </w:rPr>
        <w:t>Technology</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Acceptance</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Model</w:t>
      </w:r>
      <w:proofErr w:type="spellEnd"/>
      <w:r w:rsidRPr="00330DB3">
        <w:rPr>
          <w:rFonts w:eastAsia="Times New Roman" w:cstheme="minorHAnsi"/>
          <w:lang w:eastAsia="el-GR"/>
        </w:rPr>
        <w:t>, TAM) (</w:t>
      </w:r>
      <w:proofErr w:type="spellStart"/>
      <w:r w:rsidRPr="00330DB3">
        <w:rPr>
          <w:rFonts w:eastAsia="Times New Roman" w:cstheme="minorHAnsi"/>
          <w:lang w:eastAsia="el-GR"/>
        </w:rPr>
        <w:t>Davis</w:t>
      </w:r>
      <w:proofErr w:type="spellEnd"/>
      <w:r w:rsidRPr="00330DB3">
        <w:rPr>
          <w:rFonts w:eastAsia="Times New Roman" w:cstheme="minorHAnsi"/>
          <w:lang w:eastAsia="el-GR"/>
        </w:rPr>
        <w:t>, 1989), συμβάλλουν σημαντικά στην αποδοχή της τεχνολογίας. Ωστόσο, οι εκπαιδευτικοί ενδέχεται επίσης να τρέφουν σκεπτικισμό, άγχος ή φόβο σχετικά με την ΤΝ, ειδικά όσον αφορά την αντικατάσταση θέσεων εργασίας ή τη δυνατότητα της ΤΝ να υποβαθμίσει την ανθρώπινη αλληλεπίδραση και τη δημιουργικότητα (</w:t>
      </w:r>
      <w:proofErr w:type="spellStart"/>
      <w:r w:rsidRPr="00330DB3">
        <w:rPr>
          <w:rFonts w:eastAsia="Times New Roman" w:cstheme="minorHAnsi"/>
          <w:lang w:eastAsia="el-GR"/>
        </w:rPr>
        <w:t>Siu</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Lei</w:t>
      </w:r>
      <w:proofErr w:type="spellEnd"/>
      <w:r w:rsidRPr="00330DB3">
        <w:rPr>
          <w:rFonts w:eastAsia="Times New Roman" w:cstheme="minorHAnsi"/>
          <w:lang w:eastAsia="el-GR"/>
        </w:rPr>
        <w:t>, 2023· UNESCO, 2021). Η κατανόηση αυτών των διαφορετικών στάσεων είναι ζωτικής σημασίας για τη δημιουργία ενός υποστηρικτικού περιβάλλοντος για την υιοθέτηση της ΤΝ.</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Επαγγελματική Ανάπτυξη για την ΤΝ στην Εκπαίδευση</w:t>
      </w:r>
      <w:r w:rsidR="000117E9" w:rsidRPr="000117E9">
        <w:rPr>
          <w:rFonts w:eastAsia="Times New Roman" w:cstheme="minorHAnsi"/>
          <w:b/>
          <w:bCs/>
          <w:lang w:eastAsia="el-GR"/>
        </w:rPr>
        <w:t>:</w:t>
      </w:r>
      <w:r w:rsidRPr="00330DB3">
        <w:rPr>
          <w:rFonts w:eastAsia="Times New Roman" w:cstheme="minorHAnsi"/>
          <w:lang w:eastAsia="el-GR"/>
        </w:rPr>
        <w:t xml:space="preserve"> Η αποτελεσματική επαγγελματική ανάπτυξη είναι απαραίτητη για να εξοπλιστούν οι εκπαιδευτικοί με τις απαραίτητες γνώσεις και δεξιότητες για την αποτελεσματική ενσωμάτωση της ΤΝ. Τέτοια προγράμματα θα πρέπει να ξεπεράσουν την απλή τεχνική κατάρτιση και να περιλαμβάνουν παιδαγωγικές στρατηγικές, ηθικές εκτιμήσεις και κριτική σκέψη σχετικά με τον ρόλο της ΤΝ στην εκπαίδευση (</w:t>
      </w:r>
      <w:proofErr w:type="spellStart"/>
      <w:r w:rsidRPr="00330DB3">
        <w:rPr>
          <w:rFonts w:eastAsia="Times New Roman" w:cstheme="minorHAnsi"/>
          <w:lang w:eastAsia="el-GR"/>
        </w:rPr>
        <w:t>Voogt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xml:space="preserve">., 2013· </w:t>
      </w:r>
      <w:proofErr w:type="spellStart"/>
      <w:r w:rsidRPr="00330DB3">
        <w:rPr>
          <w:rFonts w:eastAsia="Times New Roman" w:cstheme="minorHAnsi"/>
          <w:lang w:eastAsia="el-GR"/>
        </w:rPr>
        <w:t>Ng</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Ferrara</w:t>
      </w:r>
      <w:proofErr w:type="spellEnd"/>
      <w:r w:rsidRPr="00330DB3">
        <w:rPr>
          <w:rFonts w:eastAsia="Times New Roman" w:cstheme="minorHAnsi"/>
          <w:lang w:eastAsia="el-GR"/>
        </w:rPr>
        <w:t xml:space="preserve">, 2022). Για τους εκπαιδευτικούς πρωτοβάθμιας εκπαίδευσης, η επαγγελματική ανάπτυξη πρέπει να προσαρμοστεί στις ειδικές ανάγκες τους, λαμβάνοντας υπόψη τα υφιστάμενα επίπεδα ψηφιακού </w:t>
      </w:r>
      <w:proofErr w:type="spellStart"/>
      <w:r w:rsidRPr="00330DB3">
        <w:rPr>
          <w:rFonts w:eastAsia="Times New Roman" w:cstheme="minorHAnsi"/>
          <w:lang w:eastAsia="el-GR"/>
        </w:rPr>
        <w:t>γραμματισμού</w:t>
      </w:r>
      <w:proofErr w:type="spellEnd"/>
      <w:r w:rsidRPr="00330DB3">
        <w:rPr>
          <w:rFonts w:eastAsia="Times New Roman" w:cstheme="minorHAnsi"/>
          <w:lang w:eastAsia="el-GR"/>
        </w:rPr>
        <w:t xml:space="preserve"> τους και τις μοναδικές απαιτήσεις της διδασκαλίας μικρών παιδιών (European Agency for Special </w:t>
      </w:r>
      <w:proofErr w:type="spellStart"/>
      <w:r w:rsidRPr="00330DB3">
        <w:rPr>
          <w:rFonts w:eastAsia="Times New Roman" w:cstheme="minorHAnsi"/>
          <w:lang w:eastAsia="el-GR"/>
        </w:rPr>
        <w:t>Needs</w:t>
      </w:r>
      <w:proofErr w:type="spellEnd"/>
      <w:r w:rsidRPr="00330DB3">
        <w:rPr>
          <w:rFonts w:eastAsia="Times New Roman" w:cstheme="minorHAnsi"/>
          <w:lang w:eastAsia="el-GR"/>
        </w:rPr>
        <w:t xml:space="preserve"> and </w:t>
      </w:r>
      <w:proofErr w:type="spellStart"/>
      <w:r w:rsidRPr="00330DB3">
        <w:rPr>
          <w:rFonts w:eastAsia="Times New Roman" w:cstheme="minorHAnsi"/>
          <w:lang w:eastAsia="el-GR"/>
        </w:rPr>
        <w:t>Inclusive</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Education</w:t>
      </w:r>
      <w:proofErr w:type="spellEnd"/>
      <w:r w:rsidRPr="00330DB3">
        <w:rPr>
          <w:rFonts w:eastAsia="Times New Roman" w:cstheme="minorHAnsi"/>
          <w:lang w:eastAsia="el-GR"/>
        </w:rPr>
        <w:t>, 2019).</w:t>
      </w: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Αυτή η ανασκόπηση της βιβλιογραφίας υπογραμμίζει την επείγουσα ανάγκη να εξεταστούν ειδικά οι προοπτικές των εκπαιδευτικών πρωτοβάθμιας εκπαίδευσης σχετικά με την ΤΝ, καθώς η ετοιμότητά τους, οι προκλήσεις και οι στάσεις τους θα καθορίσουν τελικά την επιτυχή και υπεύθυνη ενσωμάτωση αυτής της μετασχηματιστικής τεχνολογίας στην πρώιμη εκπαίδευση.</w:t>
      </w:r>
    </w:p>
    <w:p w:rsidR="00330DB3" w:rsidRPr="00D170D7" w:rsidRDefault="00330DB3" w:rsidP="00D170D7">
      <w:pPr>
        <w:suppressAutoHyphens/>
        <w:spacing w:before="240" w:after="0" w:line="240" w:lineRule="auto"/>
        <w:ind w:firstLine="284"/>
        <w:rPr>
          <w:rFonts w:ascii="Calibri" w:eastAsia="Times New Roman" w:hAnsi="Calibri" w:cs="Calibri"/>
          <w:b/>
          <w:lang w:eastAsia="zh-CN"/>
        </w:rPr>
      </w:pPr>
      <w:r w:rsidRPr="00D170D7">
        <w:rPr>
          <w:rFonts w:ascii="Calibri" w:eastAsia="Times New Roman" w:hAnsi="Calibri" w:cs="Calibri"/>
          <w:b/>
          <w:lang w:eastAsia="zh-CN"/>
        </w:rPr>
        <w:t>Μεθοδολογία</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Η παρούσα μελέτη εφάρμοσε έναν ποσοτικό ερευνητικό σχεδιασμό, με τη χρήση έρευνας μέσω ερωτηματολογίου, για να αποκτήσει μια συστηματική και μετρήσιμη κατανόηση της ετοιμότητας, των αντιλαμβανόμενων προκλήσεων και των στάσεων των εκπαιδευτικών πρωτοβάθμιας εκπαίδευσης απέναντι στην ενσωμάτωση της ΤΝ.</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Συμμετέχοντες και Δειγματοληψία:</w:t>
      </w:r>
      <w:r w:rsidRPr="00330DB3">
        <w:rPr>
          <w:rFonts w:eastAsia="Times New Roman" w:cstheme="minorHAnsi"/>
          <w:lang w:eastAsia="el-GR"/>
        </w:rPr>
        <w:t xml:space="preserve"> Οι συμμετέχοντες στην παρούσα μελέτη ήταν εκπαιδευτικοί πρωτοβάθμιας εκπαίδευσης που απασχολούνται επί του παρόντος σε δημόσια και ιδιωτικά δημοτικά σχολεία σε όλη την Ελλάδα. Συνολικά 500 εκπαιδευτικοί πρωτοβάθμιας εκπαίδευσης συμμετείχαν στην έρευνα. Για τη διασφάλιση της αντιπροσωπευτικότητας και της </w:t>
      </w:r>
      <w:proofErr w:type="spellStart"/>
      <w:r w:rsidRPr="00330DB3">
        <w:rPr>
          <w:rFonts w:eastAsia="Times New Roman" w:cstheme="minorHAnsi"/>
          <w:lang w:eastAsia="el-GR"/>
        </w:rPr>
        <w:t>γενικευσιμότητας</w:t>
      </w:r>
      <w:proofErr w:type="spellEnd"/>
      <w:r w:rsidRPr="00330DB3">
        <w:rPr>
          <w:rFonts w:eastAsia="Times New Roman" w:cstheme="minorHAnsi"/>
          <w:lang w:eastAsia="el-GR"/>
        </w:rPr>
        <w:t xml:space="preserve"> των ευρημάτων, χρησιμοποιήθηκε </w:t>
      </w:r>
      <w:proofErr w:type="spellStart"/>
      <w:r w:rsidRPr="00330DB3">
        <w:rPr>
          <w:rFonts w:eastAsia="Times New Roman" w:cstheme="minorHAnsi"/>
          <w:lang w:eastAsia="el-GR"/>
        </w:rPr>
        <w:t>στρωματοποιημένη</w:t>
      </w:r>
      <w:proofErr w:type="spellEnd"/>
      <w:r w:rsidRPr="00330DB3">
        <w:rPr>
          <w:rFonts w:eastAsia="Times New Roman" w:cstheme="minorHAnsi"/>
          <w:lang w:eastAsia="el-GR"/>
        </w:rPr>
        <w:t xml:space="preserve"> τυχαία δειγματοληψία. Τα σχολεία επιλέχθηκαν τυχαία από διαφορετικές γεωγραφικές περιοχές και τύπους σχολείων (αστικά/αγροτικά, δημόσια/ιδιωτικά). Το τελικό μέγεθος του δείγματος των 500 εκπαιδευτικών αντιστοιχεί σε ποσοστό ανταπόκρισης 62% επί των συνολικά διανεμηθέντων ερωτηματολογίων. Είναι σημαντικό να σημειωθεί ότι κανένας μαθητής ή γονέας δεν συμμετείχε στις διαδικασίες συλλογής δεδομένων ή </w:t>
      </w:r>
      <w:r w:rsidR="00C858F5">
        <w:rPr>
          <w:rFonts w:eastAsia="Times New Roman" w:cstheme="minorHAnsi"/>
          <w:lang w:eastAsia="el-GR"/>
        </w:rPr>
        <w:t>αποτελούσε αντικείμενο μελέτης.</w:t>
      </w:r>
    </w:p>
    <w:p w:rsidR="00330DB3" w:rsidRPr="00330DB3" w:rsidRDefault="00C858F5" w:rsidP="006966BC">
      <w:pPr>
        <w:spacing w:after="0" w:line="240" w:lineRule="auto"/>
        <w:ind w:firstLine="284"/>
        <w:jc w:val="both"/>
        <w:rPr>
          <w:rFonts w:eastAsia="Times New Roman" w:cstheme="minorHAnsi"/>
          <w:lang w:eastAsia="el-GR"/>
        </w:rPr>
      </w:pPr>
      <w:r w:rsidRPr="000117E9">
        <w:rPr>
          <w:rFonts w:eastAsia="Times New Roman" w:cstheme="minorHAnsi"/>
          <w:bCs/>
          <w:lang w:eastAsia="el-GR"/>
        </w:rPr>
        <w:t>Όργανα σ</w:t>
      </w:r>
      <w:r w:rsidR="00330DB3" w:rsidRPr="00330DB3">
        <w:rPr>
          <w:rFonts w:eastAsia="Times New Roman" w:cstheme="minorHAnsi"/>
          <w:bCs/>
          <w:lang w:eastAsia="el-GR"/>
        </w:rPr>
        <w:t xml:space="preserve">υλλογής </w:t>
      </w:r>
      <w:r w:rsidRPr="000117E9">
        <w:rPr>
          <w:rFonts w:eastAsia="Times New Roman" w:cstheme="minorHAnsi"/>
          <w:bCs/>
          <w:lang w:eastAsia="el-GR"/>
        </w:rPr>
        <w:t>δ</w:t>
      </w:r>
      <w:r w:rsidR="00330DB3" w:rsidRPr="00330DB3">
        <w:rPr>
          <w:rFonts w:eastAsia="Times New Roman" w:cstheme="minorHAnsi"/>
          <w:bCs/>
          <w:lang w:eastAsia="el-GR"/>
        </w:rPr>
        <w:t>εδομένων:</w:t>
      </w:r>
      <w:r w:rsidR="00330DB3" w:rsidRPr="00330DB3">
        <w:rPr>
          <w:rFonts w:eastAsia="Times New Roman" w:cstheme="minorHAnsi"/>
          <w:lang w:eastAsia="el-GR"/>
        </w:rPr>
        <w:t xml:space="preserve"> Ένα δομημένο ηλεκτρονικό ερωτηματολόγιο έρευνας αναπτύχθηκε ειδικά για τους σκοπούς αυτής της μελέτης. Το ερωτηματολόγιο, το οποίο υποβλήθηκε σε πιλοτική δοκιμή σε ένα μικρό δείγμα 30 εκπαιδευτικών για τη διασφάλιση της σαφήνειας, της κατανόησης και της συνάφειας των ερωτήσεων, αποτελούνταν από τις ακόλουθες ενότητες:</w:t>
      </w:r>
    </w:p>
    <w:p w:rsidR="00330DB3" w:rsidRPr="00330DB3" w:rsidRDefault="00330DB3" w:rsidP="00AA1E14">
      <w:pPr>
        <w:numPr>
          <w:ilvl w:val="0"/>
          <w:numId w:val="2"/>
        </w:numPr>
        <w:tabs>
          <w:tab w:val="clear" w:pos="720"/>
          <w:tab w:val="left" w:pos="709"/>
        </w:tabs>
        <w:spacing w:after="0" w:line="240" w:lineRule="auto"/>
        <w:ind w:left="567" w:hanging="283"/>
        <w:jc w:val="both"/>
        <w:rPr>
          <w:rFonts w:eastAsia="Times New Roman" w:cstheme="minorHAnsi"/>
          <w:lang w:eastAsia="el-GR"/>
        </w:rPr>
      </w:pPr>
      <w:r w:rsidRPr="00330DB3">
        <w:rPr>
          <w:rFonts w:eastAsia="Times New Roman" w:cstheme="minorHAnsi"/>
          <w:bCs/>
          <w:lang w:eastAsia="el-GR"/>
        </w:rPr>
        <w:t>Δημογραφικά στοιχεία:</w:t>
      </w:r>
      <w:r w:rsidRPr="00330DB3">
        <w:rPr>
          <w:rFonts w:eastAsia="Times New Roman" w:cstheme="minorHAnsi"/>
          <w:lang w:eastAsia="el-GR"/>
        </w:rPr>
        <w:t xml:space="preserve"> Περιλάμβανε στοιχεία όπως ηλικία, φύλο, χρόνια διδακτικής εμπειρίας, επίπεδο εκπαίδευσης και προηγούμενη εμπειρία με τεχνολογίες στην τάξη.</w:t>
      </w:r>
    </w:p>
    <w:p w:rsidR="00330DB3" w:rsidRPr="00330DB3" w:rsidRDefault="00330DB3" w:rsidP="00AA1E14">
      <w:pPr>
        <w:numPr>
          <w:ilvl w:val="0"/>
          <w:numId w:val="2"/>
        </w:numPr>
        <w:tabs>
          <w:tab w:val="clear" w:pos="720"/>
          <w:tab w:val="left" w:pos="709"/>
        </w:tabs>
        <w:spacing w:after="0" w:line="240" w:lineRule="auto"/>
        <w:ind w:left="567" w:hanging="283"/>
        <w:jc w:val="both"/>
        <w:rPr>
          <w:rFonts w:eastAsia="Times New Roman" w:cstheme="minorHAnsi"/>
          <w:lang w:eastAsia="el-GR"/>
        </w:rPr>
      </w:pPr>
      <w:r w:rsidRPr="00330DB3">
        <w:rPr>
          <w:rFonts w:eastAsia="Times New Roman" w:cstheme="minorHAnsi"/>
          <w:bCs/>
          <w:lang w:eastAsia="el-GR"/>
        </w:rPr>
        <w:lastRenderedPageBreak/>
        <w:t>Κλίμακα Αντιλαμβανόμενης Ετοιμότητας στην ΤΝ (ΚΑΕ-ΤΝ):</w:t>
      </w:r>
      <w:r w:rsidRPr="00330DB3">
        <w:rPr>
          <w:rFonts w:eastAsia="Times New Roman" w:cstheme="minorHAnsi"/>
          <w:lang w:eastAsia="el-GR"/>
        </w:rPr>
        <w:t xml:space="preserve"> Μετρούσε τις </w:t>
      </w:r>
      <w:proofErr w:type="spellStart"/>
      <w:r w:rsidRPr="00330DB3">
        <w:rPr>
          <w:rFonts w:eastAsia="Times New Roman" w:cstheme="minorHAnsi"/>
          <w:lang w:eastAsia="el-GR"/>
        </w:rPr>
        <w:t>αυτοαξιολογήσεις</w:t>
      </w:r>
      <w:proofErr w:type="spellEnd"/>
      <w:r w:rsidRPr="00330DB3">
        <w:rPr>
          <w:rFonts w:eastAsia="Times New Roman" w:cstheme="minorHAnsi"/>
          <w:lang w:eastAsia="el-GR"/>
        </w:rPr>
        <w:t xml:space="preserve"> των εκπαιδευτικών για τις γνώσεις τους στην ΤΝ (π.χ., "Κατανοώ τις βασικές αρχές της ΤΝ"), τις δεξιότητες χρήσης εργαλείων ΤΝ (π.χ., "Μπορώ να χρησιμοποιήσω εφαρμογές ΤΝ για τον σχεδιασμό μαθημάτων") και την αυτοπεποίθησή τους στην ενσωμάτωση της ΤΝ στην παιδαγωγική τους πρακτική (π.χ., "Αισθάνομαι σίγουρος/η να ενσωματώσω την ΤΝ στη διδασκαλία μου"). Η κλίμακα αποτελούνταν από 15 στοιχεία με κλίμακα </w:t>
      </w:r>
      <w:proofErr w:type="spellStart"/>
      <w:r w:rsidRPr="00330DB3">
        <w:rPr>
          <w:rFonts w:eastAsia="Times New Roman" w:cstheme="minorHAnsi"/>
          <w:lang w:eastAsia="el-GR"/>
        </w:rPr>
        <w:t>Likert</w:t>
      </w:r>
      <w:proofErr w:type="spellEnd"/>
      <w:r w:rsidRPr="00330DB3">
        <w:rPr>
          <w:rFonts w:eastAsia="Times New Roman" w:cstheme="minorHAnsi"/>
          <w:lang w:eastAsia="el-GR"/>
        </w:rPr>
        <w:t xml:space="preserve"> 5 σημείων (1=Διαφωνώ Απόλυτα, 5=Συμφωνώ Απόλυτα). Η εσωτερική συνέπεια της κλίμακας ελέγχθηκε με τον δείκτη </w:t>
      </w:r>
      <w:proofErr w:type="spellStart"/>
      <w:r w:rsidRPr="00330DB3">
        <w:rPr>
          <w:rFonts w:eastAsia="Times New Roman" w:cstheme="minorHAnsi"/>
          <w:lang w:eastAsia="el-GR"/>
        </w:rPr>
        <w:t>Cronbach's</w:t>
      </w:r>
      <w:proofErr w:type="spellEnd"/>
      <w:r w:rsidRPr="00330DB3">
        <w:rPr>
          <w:rFonts w:eastAsia="Times New Roman" w:cstheme="minorHAnsi"/>
          <w:lang w:eastAsia="el-GR"/>
        </w:rPr>
        <w:t xml:space="preserve"> α, ο οποίο</w:t>
      </w:r>
      <w:r w:rsidR="007C1C74">
        <w:rPr>
          <w:rFonts w:eastAsia="Times New Roman" w:cstheme="minorHAnsi"/>
          <w:lang w:eastAsia="el-GR"/>
        </w:rPr>
        <w:t xml:space="preserve">ς έδειξε υψηλή αξιοπιστία (α = </w:t>
      </w:r>
      <w:r w:rsidRPr="00330DB3">
        <w:rPr>
          <w:rFonts w:eastAsia="Times New Roman" w:cstheme="minorHAnsi"/>
          <w:lang w:eastAsia="el-GR"/>
        </w:rPr>
        <w:t>89).</w:t>
      </w:r>
    </w:p>
    <w:p w:rsidR="00330DB3" w:rsidRPr="00330DB3" w:rsidRDefault="00330DB3" w:rsidP="00AA1E14">
      <w:pPr>
        <w:numPr>
          <w:ilvl w:val="0"/>
          <w:numId w:val="2"/>
        </w:numPr>
        <w:tabs>
          <w:tab w:val="clear" w:pos="720"/>
          <w:tab w:val="left" w:pos="709"/>
        </w:tabs>
        <w:spacing w:after="0" w:line="240" w:lineRule="auto"/>
        <w:ind w:left="567" w:hanging="283"/>
        <w:jc w:val="both"/>
        <w:rPr>
          <w:rFonts w:eastAsia="Times New Roman" w:cstheme="minorHAnsi"/>
          <w:lang w:eastAsia="el-GR"/>
        </w:rPr>
      </w:pPr>
      <w:r w:rsidRPr="00330DB3">
        <w:rPr>
          <w:rFonts w:eastAsia="Times New Roman" w:cstheme="minorHAnsi"/>
          <w:bCs/>
          <w:lang w:eastAsia="el-GR"/>
        </w:rPr>
        <w:t>Κλίμακα Αντιλαμβανόμενων Προκλήσεων της Ενσωμάτωσης της ΤΝ (ΚΑΠ-ΤΝ):</w:t>
      </w:r>
      <w:r w:rsidRPr="00330DB3">
        <w:rPr>
          <w:rFonts w:eastAsia="Times New Roman" w:cstheme="minorHAnsi"/>
          <w:lang w:eastAsia="el-GR"/>
        </w:rPr>
        <w:t xml:space="preserve"> Αξιολογούσε τα εμπόδια που αντιλαμβάνονται οι εκπαιδευτικοί κατά την ενσωμάτωση της ΤΝ, όπως η έλλειψη πόρων (π.χ., "Δεν υπάρχουν αρκετοί υπολογιστές/συσκευές με ΤΝ στο σχολείο μου"), οι χρονικοί περιορισμοί (π.χ., "Δεν έχω αρκετό χρόνο να μάθω για την ΤΝ"), τα κενά στην κατάρτιση (π.χ., "Η επιμόρφωση που έχω λάβει για την ΤΝ είναι ανεπαρκής"), οι ηθικές ανησυχίες (π.χ., "Ανησυχώ για την </w:t>
      </w:r>
      <w:proofErr w:type="spellStart"/>
      <w:r w:rsidRPr="00330DB3">
        <w:rPr>
          <w:rFonts w:eastAsia="Times New Roman" w:cstheme="minorHAnsi"/>
          <w:lang w:eastAsia="el-GR"/>
        </w:rPr>
        <w:t>ιδιωτικότητα</w:t>
      </w:r>
      <w:proofErr w:type="spellEnd"/>
      <w:r w:rsidRPr="00330DB3">
        <w:rPr>
          <w:rFonts w:eastAsia="Times New Roman" w:cstheme="minorHAnsi"/>
          <w:lang w:eastAsia="el-GR"/>
        </w:rPr>
        <w:t xml:space="preserve"> των δεδομένων των μαθητών με τη χρήση ΤΝ") και οι οργανωτικές δυσκολίες (π.χ., "Δεν υπάρχει σαφής πολιτική σχολείου για τη χρήση ΤΝ"). Η κλίμακα αποτελούνταν από 20 στοιχεία με κλίμακα </w:t>
      </w:r>
      <w:proofErr w:type="spellStart"/>
      <w:r w:rsidRPr="00330DB3">
        <w:rPr>
          <w:rFonts w:eastAsia="Times New Roman" w:cstheme="minorHAnsi"/>
          <w:lang w:eastAsia="el-GR"/>
        </w:rPr>
        <w:t>Likert</w:t>
      </w:r>
      <w:proofErr w:type="spellEnd"/>
      <w:r w:rsidRPr="00330DB3">
        <w:rPr>
          <w:rFonts w:eastAsia="Times New Roman" w:cstheme="minorHAnsi"/>
          <w:lang w:eastAsia="el-GR"/>
        </w:rPr>
        <w:t xml:space="preserve"> 5 σημείων (α = .91).</w:t>
      </w:r>
    </w:p>
    <w:p w:rsidR="00330DB3" w:rsidRPr="00330DB3" w:rsidRDefault="00330DB3" w:rsidP="00AA1E14">
      <w:pPr>
        <w:numPr>
          <w:ilvl w:val="0"/>
          <w:numId w:val="2"/>
        </w:numPr>
        <w:tabs>
          <w:tab w:val="clear" w:pos="720"/>
          <w:tab w:val="left" w:pos="709"/>
        </w:tabs>
        <w:spacing w:after="0" w:line="240" w:lineRule="auto"/>
        <w:ind w:left="567" w:hanging="283"/>
        <w:jc w:val="both"/>
        <w:rPr>
          <w:rFonts w:eastAsia="Times New Roman" w:cstheme="minorHAnsi"/>
          <w:lang w:eastAsia="el-GR"/>
        </w:rPr>
      </w:pPr>
      <w:r w:rsidRPr="00330DB3">
        <w:rPr>
          <w:rFonts w:eastAsia="Times New Roman" w:cstheme="minorHAnsi"/>
          <w:bCs/>
          <w:lang w:eastAsia="el-GR"/>
        </w:rPr>
        <w:t>Κλίμακα Στάσεων απέναντι στην ΤΝ στην Εκπαίδευση (ΚΣ-ΤΝ</w:t>
      </w:r>
      <w:r w:rsidRPr="00330DB3">
        <w:rPr>
          <w:rFonts w:eastAsia="Times New Roman" w:cstheme="minorHAnsi"/>
          <w:b/>
          <w:bCs/>
          <w:lang w:eastAsia="el-GR"/>
        </w:rPr>
        <w:t>):</w:t>
      </w:r>
      <w:r w:rsidRPr="00330DB3">
        <w:rPr>
          <w:rFonts w:eastAsia="Times New Roman" w:cstheme="minorHAnsi"/>
          <w:lang w:eastAsia="el-GR"/>
        </w:rPr>
        <w:t xml:space="preserve"> Διερευνούσε τις γενικές στάσεις των εκπαιδευτικών, συμπεριλαμβανομένων των αντιλαμβανόμενων οφελών της ΤΝ (π.χ., "Η ΤΝ μπορεί να εξατομικεύσει τη μάθηση των μαθητών"), των πιθανών κινδύνων (π.χ., "Η ΤΝ μπορεί να οδηγήσει σε </w:t>
      </w:r>
      <w:proofErr w:type="spellStart"/>
      <w:r w:rsidRPr="00330DB3">
        <w:rPr>
          <w:rFonts w:eastAsia="Times New Roman" w:cstheme="minorHAnsi"/>
          <w:lang w:eastAsia="el-GR"/>
        </w:rPr>
        <w:t>απανθρωποποίηση</w:t>
      </w:r>
      <w:proofErr w:type="spellEnd"/>
      <w:r w:rsidRPr="00330DB3">
        <w:rPr>
          <w:rFonts w:eastAsia="Times New Roman" w:cstheme="minorHAnsi"/>
          <w:lang w:eastAsia="el-GR"/>
        </w:rPr>
        <w:t xml:space="preserve"> της διδασκαλίας") και της προθυμίας για υιοθέτηση (π.χ., "Είμαι πρόθυμος/η να πειραματιστώ με εργαλεία ΤΝ στην τάξη μου"). Η κλίμακα αποτελούνταν από 18 στοιχεία με κλίμακα </w:t>
      </w:r>
      <w:proofErr w:type="spellStart"/>
      <w:r w:rsidRPr="00330DB3">
        <w:rPr>
          <w:rFonts w:eastAsia="Times New Roman" w:cstheme="minorHAnsi"/>
          <w:lang w:eastAsia="el-GR"/>
        </w:rPr>
        <w:t>Likert</w:t>
      </w:r>
      <w:proofErr w:type="spellEnd"/>
      <w:r w:rsidRPr="00330DB3">
        <w:rPr>
          <w:rFonts w:eastAsia="Times New Roman" w:cstheme="minorHAnsi"/>
          <w:lang w:eastAsia="el-GR"/>
        </w:rPr>
        <w:t xml:space="preserve"> 5 σημείων (α = .87).</w:t>
      </w:r>
    </w:p>
    <w:p w:rsidR="00330DB3" w:rsidRPr="00330DB3" w:rsidRDefault="00330DB3" w:rsidP="00AA1E14">
      <w:pPr>
        <w:numPr>
          <w:ilvl w:val="0"/>
          <w:numId w:val="2"/>
        </w:numPr>
        <w:tabs>
          <w:tab w:val="clear" w:pos="720"/>
          <w:tab w:val="left" w:pos="709"/>
        </w:tabs>
        <w:spacing w:after="0" w:line="240" w:lineRule="auto"/>
        <w:ind w:left="567" w:hanging="283"/>
        <w:jc w:val="both"/>
        <w:rPr>
          <w:rFonts w:eastAsia="Times New Roman" w:cstheme="minorHAnsi"/>
          <w:lang w:eastAsia="el-GR"/>
        </w:rPr>
      </w:pPr>
      <w:r w:rsidRPr="00330DB3">
        <w:rPr>
          <w:rFonts w:eastAsia="Times New Roman" w:cstheme="minorHAnsi"/>
          <w:bCs/>
          <w:lang w:eastAsia="el-GR"/>
        </w:rPr>
        <w:t>Ανάγκες Επαγγελματικής Ανάπτυξης:</w:t>
      </w:r>
      <w:r w:rsidRPr="00330DB3">
        <w:rPr>
          <w:rFonts w:eastAsia="Times New Roman" w:cstheme="minorHAnsi"/>
          <w:lang w:eastAsia="el-GR"/>
        </w:rPr>
        <w:t xml:space="preserve"> Περιλάμβανε στοιχεία πολλαπλής επιλογής σχετικά με τους τύπους κατάρτισης που θα θεωρούσαν οι εκπαιδευτικοί πιο χρήσιμους (π.χ., πρακτικά εργαστήρια, </w:t>
      </w:r>
      <w:proofErr w:type="spellStart"/>
      <w:r w:rsidRPr="00330DB3">
        <w:rPr>
          <w:rFonts w:eastAsia="Times New Roman" w:cstheme="minorHAnsi"/>
          <w:lang w:eastAsia="el-GR"/>
        </w:rPr>
        <w:t>online</w:t>
      </w:r>
      <w:proofErr w:type="spellEnd"/>
      <w:r w:rsidRPr="00330DB3">
        <w:rPr>
          <w:rFonts w:eastAsia="Times New Roman" w:cstheme="minorHAnsi"/>
          <w:lang w:eastAsia="el-GR"/>
        </w:rPr>
        <w:t xml:space="preserve"> μαθήματα, κοινότητες πρακτικής, καθοδήγηση από </w:t>
      </w:r>
      <w:proofErr w:type="spellStart"/>
      <w:r w:rsidRPr="00330DB3">
        <w:rPr>
          <w:rFonts w:eastAsia="Times New Roman" w:cstheme="minorHAnsi"/>
          <w:lang w:eastAsia="el-GR"/>
        </w:rPr>
        <w:t>ομοτίμους</w:t>
      </w:r>
      <w:proofErr w:type="spellEnd"/>
      <w:r w:rsidRPr="00330DB3">
        <w:rPr>
          <w:rFonts w:eastAsia="Times New Roman" w:cstheme="minorHAnsi"/>
          <w:lang w:eastAsia="el-GR"/>
        </w:rPr>
        <w:t>).</w:t>
      </w:r>
    </w:p>
    <w:p w:rsidR="00330DB3" w:rsidRPr="00330DB3" w:rsidRDefault="007A46C5" w:rsidP="006966BC">
      <w:pPr>
        <w:spacing w:after="0" w:line="240" w:lineRule="auto"/>
        <w:ind w:firstLine="284"/>
        <w:jc w:val="both"/>
        <w:rPr>
          <w:rFonts w:eastAsia="Times New Roman" w:cstheme="minorHAnsi"/>
          <w:lang w:eastAsia="el-GR"/>
        </w:rPr>
      </w:pPr>
      <w:r w:rsidRPr="000117E9">
        <w:rPr>
          <w:rFonts w:eastAsia="Times New Roman" w:cstheme="minorHAnsi"/>
          <w:bCs/>
          <w:lang w:eastAsia="el-GR"/>
        </w:rPr>
        <w:t>Διαδικασία συλλογής δ</w:t>
      </w:r>
      <w:r w:rsidR="00330DB3" w:rsidRPr="00330DB3">
        <w:rPr>
          <w:rFonts w:eastAsia="Times New Roman" w:cstheme="minorHAnsi"/>
          <w:bCs/>
          <w:lang w:eastAsia="el-GR"/>
        </w:rPr>
        <w:t>εδομένων:</w:t>
      </w:r>
      <w:r w:rsidR="00330DB3" w:rsidRPr="00330DB3">
        <w:rPr>
          <w:rFonts w:eastAsia="Times New Roman" w:cstheme="minorHAnsi"/>
          <w:lang w:eastAsia="el-GR"/>
        </w:rPr>
        <w:t xml:space="preserve"> Το ερωτηματολόγιο διανεμήθηκε διαδικτυακά μέσω </w:t>
      </w:r>
      <w:r w:rsidR="00381453">
        <w:rPr>
          <w:rFonts w:eastAsia="Times New Roman" w:cstheme="minorHAnsi"/>
          <w:lang w:eastAsia="el-GR"/>
        </w:rPr>
        <w:t>της</w:t>
      </w:r>
      <w:r w:rsidR="007C1C74">
        <w:rPr>
          <w:rFonts w:eastAsia="Times New Roman" w:cstheme="minorHAnsi"/>
          <w:lang w:eastAsia="el-GR"/>
        </w:rPr>
        <w:t xml:space="preserve"> πλατφόρμας </w:t>
      </w:r>
      <w:proofErr w:type="spellStart"/>
      <w:r w:rsidR="007C1C74">
        <w:rPr>
          <w:rFonts w:eastAsia="Times New Roman" w:cstheme="minorHAnsi"/>
          <w:lang w:eastAsia="el-GR"/>
        </w:rPr>
        <w:t>Google</w:t>
      </w:r>
      <w:proofErr w:type="spellEnd"/>
      <w:r w:rsidR="007C1C74">
        <w:rPr>
          <w:rFonts w:eastAsia="Times New Roman" w:cstheme="minorHAnsi"/>
          <w:lang w:eastAsia="el-GR"/>
        </w:rPr>
        <w:t xml:space="preserve"> </w:t>
      </w:r>
      <w:proofErr w:type="spellStart"/>
      <w:r w:rsidR="007C1C74">
        <w:rPr>
          <w:rFonts w:eastAsia="Times New Roman" w:cstheme="minorHAnsi"/>
          <w:lang w:eastAsia="el-GR"/>
        </w:rPr>
        <w:t>Forms</w:t>
      </w:r>
      <w:proofErr w:type="spellEnd"/>
      <w:r w:rsidR="00330DB3" w:rsidRPr="00330DB3">
        <w:rPr>
          <w:rFonts w:eastAsia="Times New Roman" w:cstheme="minorHAnsi"/>
          <w:lang w:eastAsia="el-GR"/>
        </w:rPr>
        <w:t xml:space="preserve"> από </w:t>
      </w:r>
      <w:r>
        <w:rPr>
          <w:rFonts w:eastAsia="Times New Roman" w:cstheme="minorHAnsi"/>
          <w:lang w:eastAsia="el-GR"/>
        </w:rPr>
        <w:t>Σεπτέμβριο του 2024</w:t>
      </w:r>
      <w:r w:rsidR="00330DB3" w:rsidRPr="00330DB3">
        <w:rPr>
          <w:rFonts w:eastAsia="Times New Roman" w:cstheme="minorHAnsi"/>
          <w:lang w:eastAsia="el-GR"/>
        </w:rPr>
        <w:t xml:space="preserve"> έως </w:t>
      </w:r>
      <w:r>
        <w:rPr>
          <w:rFonts w:eastAsia="Times New Roman" w:cstheme="minorHAnsi"/>
          <w:lang w:eastAsia="el-GR"/>
        </w:rPr>
        <w:t xml:space="preserve">Ιανουάριο </w:t>
      </w:r>
      <w:r w:rsidR="00381453">
        <w:rPr>
          <w:rFonts w:eastAsia="Times New Roman" w:cstheme="minorHAnsi"/>
          <w:lang w:eastAsia="el-GR"/>
        </w:rPr>
        <w:t xml:space="preserve">του </w:t>
      </w:r>
      <w:r>
        <w:rPr>
          <w:rFonts w:eastAsia="Times New Roman" w:cstheme="minorHAnsi"/>
          <w:lang w:eastAsia="el-GR"/>
        </w:rPr>
        <w:t>2025</w:t>
      </w:r>
      <w:r w:rsidR="00330DB3" w:rsidRPr="00330DB3">
        <w:rPr>
          <w:rFonts w:eastAsia="Times New Roman" w:cstheme="minorHAnsi"/>
          <w:lang w:eastAsia="el-GR"/>
        </w:rPr>
        <w:t xml:space="preserve">. Μια υπενθύμιση εστάλη δύο εβδομάδες πριν από τη λήξη της περιόδου συλλογής δεδομένων για να μεγιστοποιηθεί το ποσοστό ανταπόκρισης. Οι εκπαιδευτικοί ενημερώθηκαν για τους σκοπούς της έρευνας στην αρχή του ερωτηματολογίου, δόθηκε πλήρης διασφάλιση της ανωνυμίας και της εμπιστευτικότητας (τα δεδομένα ήταν πλήρως αποπροσωποποιημένα) και τονίστηκε το δικαίωμά τους να συμμετάσχουν ή να αποσυρθούν ανά πάσα </w:t>
      </w:r>
      <w:r w:rsidR="007C1C74">
        <w:rPr>
          <w:rFonts w:eastAsia="Times New Roman" w:cstheme="minorHAnsi"/>
          <w:lang w:eastAsia="el-GR"/>
        </w:rPr>
        <w:t>στιγμή.</w:t>
      </w:r>
    </w:p>
    <w:p w:rsidR="00330DB3" w:rsidRPr="00330DB3" w:rsidRDefault="00330DB3" w:rsidP="00B46757">
      <w:pPr>
        <w:tabs>
          <w:tab w:val="num" w:pos="284"/>
          <w:tab w:val="num" w:pos="567"/>
        </w:tabs>
        <w:spacing w:after="0" w:line="240" w:lineRule="auto"/>
        <w:ind w:firstLine="284"/>
        <w:jc w:val="both"/>
        <w:rPr>
          <w:rFonts w:eastAsia="Times New Roman" w:cstheme="minorHAnsi"/>
          <w:lang w:eastAsia="el-GR"/>
        </w:rPr>
      </w:pPr>
      <w:r w:rsidRPr="00330DB3">
        <w:rPr>
          <w:rFonts w:eastAsia="Times New Roman" w:cstheme="minorHAnsi"/>
          <w:bCs/>
          <w:lang w:eastAsia="el-GR"/>
        </w:rPr>
        <w:t>Ανάλυση Δεδομένων:</w:t>
      </w:r>
      <w:r w:rsidRPr="00330DB3">
        <w:rPr>
          <w:rFonts w:eastAsia="Times New Roman" w:cstheme="minorHAnsi"/>
          <w:lang w:eastAsia="el-GR"/>
        </w:rPr>
        <w:t xml:space="preserve"> Τα δεδομένα αναλύθηκαν χρησιμοποιώντας το Στατιστικό Πακέτο για τις Κοινωνικές Επιστήμες (SPSS) έκδοση 26.0. Πραγματοποιήθηκαν τα εξής στατιστικά βήματα:</w:t>
      </w:r>
      <w:r w:rsidR="007317C4">
        <w:rPr>
          <w:rFonts w:eastAsia="Times New Roman" w:cstheme="minorHAnsi"/>
          <w:lang w:eastAsia="el-GR"/>
        </w:rPr>
        <w:t xml:space="preserve"> α)</w:t>
      </w:r>
      <w:r w:rsidR="007317C4">
        <w:rPr>
          <w:rFonts w:eastAsia="Times New Roman" w:cstheme="minorHAnsi"/>
          <w:bCs/>
          <w:lang w:eastAsia="el-GR"/>
        </w:rPr>
        <w:t>Περιγραφική σ</w:t>
      </w:r>
      <w:r w:rsidRPr="00330DB3">
        <w:rPr>
          <w:rFonts w:eastAsia="Times New Roman" w:cstheme="minorHAnsi"/>
          <w:bCs/>
          <w:lang w:eastAsia="el-GR"/>
        </w:rPr>
        <w:t>τατιστική:</w:t>
      </w:r>
      <w:r w:rsidRPr="00330DB3">
        <w:rPr>
          <w:rFonts w:eastAsia="Times New Roman" w:cstheme="minorHAnsi"/>
          <w:lang w:eastAsia="el-GR"/>
        </w:rPr>
        <w:t xml:space="preserve"> Υπολογίστηκαν μέσοι όροι (Μ), τυπικές αποκλίσεις (Τ.Α.), συχνότητες και ποσοστά για τη σύνοψη των δημογραφικών χαρακτηριστικών των συμμετεχόντων και των απαντήσεων στις κλίμακες ετοιμότητας, προκλήσεων και στάσ</w:t>
      </w:r>
      <w:r w:rsidR="007317C4">
        <w:rPr>
          <w:rFonts w:eastAsia="Times New Roman" w:cstheme="minorHAnsi"/>
          <w:lang w:eastAsia="el-GR"/>
        </w:rPr>
        <w:t>εων, απαντώντας στο Ερευνητικό ε</w:t>
      </w:r>
      <w:r w:rsidRPr="00330DB3">
        <w:rPr>
          <w:rFonts w:eastAsia="Times New Roman" w:cstheme="minorHAnsi"/>
          <w:lang w:eastAsia="el-GR"/>
        </w:rPr>
        <w:t>ρώτημα 1.</w:t>
      </w:r>
      <w:r w:rsidR="007C1C74">
        <w:rPr>
          <w:rFonts w:eastAsia="Times New Roman" w:cstheme="minorHAnsi"/>
          <w:lang w:eastAsia="el-GR"/>
        </w:rPr>
        <w:t xml:space="preserve"> β</w:t>
      </w:r>
      <w:r w:rsidR="007317C4">
        <w:rPr>
          <w:rFonts w:eastAsia="Times New Roman" w:cstheme="minorHAnsi"/>
          <w:lang w:eastAsia="el-GR"/>
        </w:rPr>
        <w:t>)</w:t>
      </w:r>
      <w:r w:rsidR="007317C4">
        <w:rPr>
          <w:rFonts w:eastAsia="Times New Roman" w:cstheme="minorHAnsi"/>
          <w:bCs/>
          <w:lang w:eastAsia="el-GR"/>
        </w:rPr>
        <w:t>Επαγωγική σ</w:t>
      </w:r>
      <w:r w:rsidRPr="00330DB3">
        <w:rPr>
          <w:rFonts w:eastAsia="Times New Roman" w:cstheme="minorHAnsi"/>
          <w:bCs/>
          <w:lang w:eastAsia="el-GR"/>
        </w:rPr>
        <w:t>τατιστική:</w:t>
      </w:r>
      <w:r w:rsidRPr="00330DB3">
        <w:rPr>
          <w:rFonts w:eastAsia="Times New Roman" w:cstheme="minorHAnsi"/>
          <w:lang w:eastAsia="el-GR"/>
        </w:rPr>
        <w:t xml:space="preserve"> Για την απάντησ</w:t>
      </w:r>
      <w:r w:rsidR="007317C4">
        <w:rPr>
          <w:rFonts w:eastAsia="Times New Roman" w:cstheme="minorHAnsi"/>
          <w:lang w:eastAsia="el-GR"/>
        </w:rPr>
        <w:t xml:space="preserve">η του Ερευνητικού Ερωτήματος 2. </w:t>
      </w:r>
      <w:r w:rsidRPr="00330DB3">
        <w:rPr>
          <w:rFonts w:eastAsia="Times New Roman" w:cstheme="minorHAnsi"/>
          <w:lang w:eastAsia="el-GR"/>
        </w:rPr>
        <w:t>Πραγματοποιήθηκαν ανεξάρτητα t</w:t>
      </w:r>
      <w:r w:rsidR="007C1C74">
        <w:rPr>
          <w:rFonts w:eastAsia="Times New Roman" w:cstheme="minorHAnsi"/>
          <w:lang w:eastAsia="el-GR"/>
        </w:rPr>
        <w:t xml:space="preserve"> – </w:t>
      </w:r>
      <w:proofErr w:type="spellStart"/>
      <w:r w:rsidRPr="00330DB3">
        <w:rPr>
          <w:rFonts w:eastAsia="Times New Roman" w:cstheme="minorHAnsi"/>
          <w:lang w:eastAsia="el-GR"/>
        </w:rPr>
        <w:t>tests</w:t>
      </w:r>
      <w:proofErr w:type="spellEnd"/>
      <w:r w:rsidR="007C1C74">
        <w:rPr>
          <w:rFonts w:eastAsia="Times New Roman" w:cstheme="minorHAnsi"/>
          <w:lang w:eastAsia="el-GR"/>
        </w:rPr>
        <w:t xml:space="preserve"> </w:t>
      </w:r>
      <w:r w:rsidRPr="00330DB3">
        <w:rPr>
          <w:rFonts w:eastAsia="Times New Roman" w:cstheme="minorHAnsi"/>
          <w:lang w:eastAsia="el-GR"/>
        </w:rPr>
        <w:t xml:space="preserve"> για να εξεταστούν οι διαφορές στην ετοιμότητα, τις προκλήσεις και τις στάσεις βάσει διχοτομικών δημογραφικών χαρακτηριστικών (π.χ., φύλο).</w:t>
      </w:r>
      <w:r w:rsidR="007317C4">
        <w:rPr>
          <w:rFonts w:eastAsia="Times New Roman" w:cstheme="minorHAnsi"/>
          <w:lang w:eastAsia="el-GR"/>
        </w:rPr>
        <w:t xml:space="preserve"> </w:t>
      </w:r>
      <w:r w:rsidRPr="00330DB3">
        <w:rPr>
          <w:rFonts w:eastAsia="Times New Roman" w:cstheme="minorHAnsi"/>
          <w:lang w:eastAsia="el-GR"/>
        </w:rPr>
        <w:t xml:space="preserve">Διεξήχθησαν ανάλυση διακύμανσης (ANOVA) για την εξέταση διαφορών με βάση </w:t>
      </w:r>
      <w:proofErr w:type="spellStart"/>
      <w:r w:rsidRPr="00330DB3">
        <w:rPr>
          <w:rFonts w:eastAsia="Times New Roman" w:cstheme="minorHAnsi"/>
          <w:lang w:eastAsia="el-GR"/>
        </w:rPr>
        <w:t>πολυκατηγορικά</w:t>
      </w:r>
      <w:proofErr w:type="spellEnd"/>
      <w:r w:rsidRPr="00330DB3">
        <w:rPr>
          <w:rFonts w:eastAsia="Times New Roman" w:cstheme="minorHAnsi"/>
          <w:lang w:eastAsia="el-GR"/>
        </w:rPr>
        <w:t xml:space="preserve"> δημογραφικά χαρακτηριστικά (π.χ., ηλικιακές ομάδες, χρόνια εμπειρίας).</w:t>
      </w:r>
      <w:r w:rsidR="00B46757">
        <w:rPr>
          <w:rFonts w:eastAsia="Times New Roman" w:cstheme="minorHAnsi"/>
          <w:lang w:eastAsia="el-GR"/>
        </w:rPr>
        <w:t xml:space="preserve"> </w:t>
      </w:r>
      <w:r w:rsidRPr="00330DB3">
        <w:rPr>
          <w:rFonts w:eastAsia="Times New Roman" w:cstheme="minorHAnsi"/>
          <w:lang w:eastAsia="el-GR"/>
        </w:rPr>
        <w:t>Για τις περιπτώσεις που το ANOVA έδειξε στατιστικά σημαντικές διαφορές, χρησιμοποιήθηκαν post</w:t>
      </w:r>
      <w:r w:rsidR="007C1C74">
        <w:rPr>
          <w:rFonts w:eastAsia="Times New Roman" w:cstheme="minorHAnsi"/>
          <w:lang w:eastAsia="el-GR"/>
        </w:rPr>
        <w:t xml:space="preserve"> – </w:t>
      </w:r>
      <w:r w:rsidRPr="00330DB3">
        <w:rPr>
          <w:rFonts w:eastAsia="Times New Roman" w:cstheme="minorHAnsi"/>
          <w:lang w:eastAsia="el-GR"/>
        </w:rPr>
        <w:t>hoc</w:t>
      </w:r>
      <w:r w:rsidR="007C1C74">
        <w:rPr>
          <w:rFonts w:eastAsia="Times New Roman" w:cstheme="minorHAnsi"/>
          <w:lang w:eastAsia="el-GR"/>
        </w:rPr>
        <w:t xml:space="preserve"> </w:t>
      </w:r>
      <w:r w:rsidRPr="00330DB3">
        <w:rPr>
          <w:rFonts w:eastAsia="Times New Roman" w:cstheme="minorHAnsi"/>
          <w:lang w:eastAsia="el-GR"/>
        </w:rPr>
        <w:t>δοκιμές (</w:t>
      </w:r>
      <w:proofErr w:type="spellStart"/>
      <w:r w:rsidRPr="00330DB3">
        <w:rPr>
          <w:rFonts w:eastAsia="Times New Roman" w:cstheme="minorHAnsi"/>
          <w:lang w:eastAsia="el-GR"/>
        </w:rPr>
        <w:t>Bonferroni</w:t>
      </w:r>
      <w:proofErr w:type="spellEnd"/>
      <w:r w:rsidRPr="00330DB3">
        <w:rPr>
          <w:rFonts w:eastAsia="Times New Roman" w:cstheme="minorHAnsi"/>
          <w:lang w:eastAsia="el-GR"/>
        </w:rPr>
        <w:t>) για τον εντοπισμό συγκεκριμένων διαφορών μεταξύ των ομάδων.</w:t>
      </w:r>
      <w:r w:rsidR="00B46757">
        <w:rPr>
          <w:rFonts w:eastAsia="Times New Roman" w:cstheme="minorHAnsi"/>
          <w:lang w:eastAsia="el-GR"/>
        </w:rPr>
        <w:t xml:space="preserve"> </w:t>
      </w:r>
      <w:r w:rsidRPr="00330DB3">
        <w:rPr>
          <w:rFonts w:eastAsia="Times New Roman" w:cstheme="minorHAnsi"/>
          <w:lang w:eastAsia="el-GR"/>
        </w:rPr>
        <w:t xml:space="preserve">Πραγματοποιήθηκαν αναλύσεις συσχέτισης </w:t>
      </w:r>
      <w:proofErr w:type="spellStart"/>
      <w:r w:rsidRPr="00330DB3">
        <w:rPr>
          <w:rFonts w:eastAsia="Times New Roman" w:cstheme="minorHAnsi"/>
          <w:lang w:eastAsia="el-GR"/>
        </w:rPr>
        <w:t>Pearson</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Pearson</w:t>
      </w:r>
      <w:proofErr w:type="spellEnd"/>
      <w:r w:rsidRPr="00330DB3">
        <w:rPr>
          <w:rFonts w:eastAsia="Times New Roman" w:cstheme="minorHAnsi"/>
          <w:lang w:eastAsia="el-GR"/>
        </w:rPr>
        <w:t xml:space="preserve"> r) για να εξεταστούν οι σχέσεις μεταξύ των ποσοτικών μεταβλητών (π.χ., ετοιμότητα και στάσεις, προκλήσεις και ετοιμότητα).</w:t>
      </w:r>
      <w:r w:rsidR="00B46757">
        <w:rPr>
          <w:rFonts w:eastAsia="Times New Roman" w:cstheme="minorHAnsi"/>
          <w:lang w:eastAsia="el-GR"/>
        </w:rPr>
        <w:t xml:space="preserve"> </w:t>
      </w:r>
      <w:r w:rsidRPr="00330DB3">
        <w:rPr>
          <w:rFonts w:eastAsia="Times New Roman" w:cstheme="minorHAnsi"/>
          <w:lang w:eastAsia="el-GR"/>
        </w:rPr>
        <w:t xml:space="preserve">Χρησιμοποιήθηκε πολλαπλή </w:t>
      </w:r>
      <w:r w:rsidRPr="00330DB3">
        <w:rPr>
          <w:rFonts w:eastAsia="Times New Roman" w:cstheme="minorHAnsi"/>
          <w:lang w:eastAsia="el-GR"/>
        </w:rPr>
        <w:lastRenderedPageBreak/>
        <w:t>παλινδρομική ανάλυση (</w:t>
      </w:r>
      <w:proofErr w:type="spellStart"/>
      <w:r w:rsidRPr="00330DB3">
        <w:rPr>
          <w:rFonts w:eastAsia="Times New Roman" w:cstheme="minorHAnsi"/>
          <w:lang w:eastAsia="el-GR"/>
        </w:rPr>
        <w:t>Multiple</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Regression</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Analysis</w:t>
      </w:r>
      <w:proofErr w:type="spellEnd"/>
      <w:r w:rsidRPr="00330DB3">
        <w:rPr>
          <w:rFonts w:eastAsia="Times New Roman" w:cstheme="minorHAnsi"/>
          <w:lang w:eastAsia="el-GR"/>
        </w:rPr>
        <w:t>) για να προσδιοριστούν οι προγνωστικοί παράγοντες της προθυμίας των εκπαιδευτικών να ενσωματώσουν την ΤΝ στη διδασκαλία, λαμβάνοντας υπόψη την ετοιμότητα, τις προκλήσεις και τις στάσεις.</w:t>
      </w: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Ηθικές Εκτιμήσεις:</w:t>
      </w:r>
      <w:r w:rsidRPr="00330DB3">
        <w:rPr>
          <w:rFonts w:eastAsia="Times New Roman" w:cstheme="minorHAnsi"/>
          <w:lang w:eastAsia="el-GR"/>
        </w:rPr>
        <w:t xml:space="preserve"> Ελήφθη ενημερωμένη συγκατάθεση από όλους τους συμμετέχοντες εκπαιδευτικούς στην αρχή του ηλεκτρονικού ερωτηματολογίου, διασφαλίζοντας την εθελοντική τους συμμετοχή και το δικαίωμά τους να αποσυρθούν ανά πάσα στιγμή. Η ανωνυμία και η εμπιστευτικότητα διατηρήθηκαν καθ' όλη τη διάρκεια των διαδικασιών συλλογής και ανάλυσης δεδομένων, καθώς δεν συλλέχθηκαν προσωπικά δεδομένα που θα μπορούσαν να οδηγήσουν στην ταυτοποίηση των συμμετεχόντων.</w:t>
      </w:r>
    </w:p>
    <w:p w:rsidR="00330DB3" w:rsidRPr="00D170D7" w:rsidRDefault="00330DB3" w:rsidP="00D170D7">
      <w:pPr>
        <w:suppressAutoHyphens/>
        <w:spacing w:before="240" w:after="0" w:line="240" w:lineRule="auto"/>
        <w:ind w:firstLine="284"/>
        <w:rPr>
          <w:rFonts w:ascii="Calibri" w:eastAsia="Times New Roman" w:hAnsi="Calibri" w:cs="Calibri"/>
          <w:b/>
          <w:lang w:eastAsia="zh-CN"/>
        </w:rPr>
      </w:pPr>
      <w:r w:rsidRPr="00D170D7">
        <w:rPr>
          <w:rFonts w:ascii="Calibri" w:eastAsia="Times New Roman" w:hAnsi="Calibri" w:cs="Calibri"/>
          <w:b/>
          <w:lang w:eastAsia="zh-CN"/>
        </w:rPr>
        <w:t>Αποτελέσματα/Ευρήματα</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Τα ευρήματα παρουσιάζονται αναλυτικά, απαντώντας απευθείας στα ερευνητικά ερωτήματα.</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Αντιλήψεις των Εκπαιδευτικών για την Ετοιμότητα, τις Προκλήσεις και τις Στάσεις τους (ΕΕ1)</w:t>
      </w:r>
      <w:r w:rsidR="001F1D39" w:rsidRPr="001F1D39">
        <w:rPr>
          <w:rFonts w:eastAsia="Times New Roman" w:cstheme="minorHAnsi"/>
          <w:bCs/>
          <w:lang w:eastAsia="el-GR"/>
        </w:rPr>
        <w:t xml:space="preserve">: </w:t>
      </w:r>
    </w:p>
    <w:p w:rsidR="00330DB3" w:rsidRPr="00330DB3" w:rsidRDefault="00330DB3" w:rsidP="00B46757">
      <w:pPr>
        <w:tabs>
          <w:tab w:val="num" w:pos="284"/>
        </w:tabs>
        <w:spacing w:after="0" w:line="240" w:lineRule="auto"/>
        <w:ind w:firstLine="284"/>
        <w:jc w:val="both"/>
        <w:rPr>
          <w:rFonts w:eastAsia="Times New Roman" w:cstheme="minorHAnsi"/>
          <w:lang w:eastAsia="el-GR"/>
        </w:rPr>
      </w:pPr>
      <w:r w:rsidRPr="00330DB3">
        <w:rPr>
          <w:rFonts w:eastAsia="Times New Roman" w:cstheme="minorHAnsi"/>
          <w:bCs/>
          <w:lang w:eastAsia="el-GR"/>
        </w:rPr>
        <w:t>Ετοιμότητα:</w:t>
      </w:r>
      <w:r w:rsidRPr="00330DB3">
        <w:rPr>
          <w:rFonts w:eastAsia="Times New Roman" w:cstheme="minorHAnsi"/>
          <w:lang w:eastAsia="el-GR"/>
        </w:rPr>
        <w:t xml:space="preserve"> Η μέση τιμή στην Κλίμακα Αντιλαμβανόμενης Ετοιμότητας στην ΤΝ (ΚΑΕ-ΤΝ) ήταν Μ=3.2 (Τ.Α. = 0.85) σε μια κλίμακα 1-5, υποδηλώνοντας ένα μέτριο επίπεδο </w:t>
      </w:r>
      <w:proofErr w:type="spellStart"/>
      <w:r w:rsidRPr="00330DB3">
        <w:rPr>
          <w:rFonts w:eastAsia="Times New Roman" w:cstheme="minorHAnsi"/>
          <w:lang w:eastAsia="el-GR"/>
        </w:rPr>
        <w:t>αυτοαντιλαμβανόμενης</w:t>
      </w:r>
      <w:proofErr w:type="spellEnd"/>
      <w:r w:rsidRPr="00330DB3">
        <w:rPr>
          <w:rFonts w:eastAsia="Times New Roman" w:cstheme="minorHAnsi"/>
          <w:lang w:eastAsia="el-GR"/>
        </w:rPr>
        <w:t xml:space="preserve"> ετοιμότητας. Όπως φαίνεται στον Πίνακα 1, η κατανομή των επιπέδων ετοιμότητας ήταν η εξής:</w:t>
      </w:r>
      <w:r w:rsidR="00B46757">
        <w:rPr>
          <w:rFonts w:eastAsia="Times New Roman" w:cstheme="minorHAnsi"/>
          <w:lang w:eastAsia="el-GR"/>
        </w:rPr>
        <w:t xml:space="preserve"> α)</w:t>
      </w:r>
      <w:r w:rsidR="00B46757">
        <w:rPr>
          <w:rFonts w:eastAsia="Times New Roman" w:cstheme="minorHAnsi"/>
          <w:bCs/>
          <w:lang w:eastAsia="el-GR"/>
        </w:rPr>
        <w:t>Χαμηλή ε</w:t>
      </w:r>
      <w:r w:rsidRPr="00330DB3">
        <w:rPr>
          <w:rFonts w:eastAsia="Times New Roman" w:cstheme="minorHAnsi"/>
          <w:bCs/>
          <w:lang w:eastAsia="el-GR"/>
        </w:rPr>
        <w:t>τοιμότητα (1.0-2.4):</w:t>
      </w:r>
      <w:r w:rsidRPr="00330DB3">
        <w:rPr>
          <w:rFonts w:eastAsia="Times New Roman" w:cstheme="minorHAnsi"/>
          <w:lang w:eastAsia="el-GR"/>
        </w:rPr>
        <w:t xml:space="preserve"> 30% των εκπαιδευτικών. Αυτή η ομάδα δήλωσε περιορισμένες γνώσεις και δε</w:t>
      </w:r>
      <w:r w:rsidR="00B46757">
        <w:rPr>
          <w:rFonts w:eastAsia="Times New Roman" w:cstheme="minorHAnsi"/>
          <w:lang w:eastAsia="el-GR"/>
        </w:rPr>
        <w:t>ξιότητες στη χρήση εργαλείων ΤΝ, β)</w:t>
      </w:r>
      <w:r w:rsidR="00B46757">
        <w:rPr>
          <w:rFonts w:eastAsia="Times New Roman" w:cstheme="minorHAnsi"/>
          <w:bCs/>
          <w:lang w:eastAsia="el-GR"/>
        </w:rPr>
        <w:t>Μέτρια ε</w:t>
      </w:r>
      <w:r w:rsidRPr="00330DB3">
        <w:rPr>
          <w:rFonts w:eastAsia="Times New Roman" w:cstheme="minorHAnsi"/>
          <w:bCs/>
          <w:lang w:eastAsia="el-GR"/>
        </w:rPr>
        <w:t>τοιμότητα (2.5-3.4):</w:t>
      </w:r>
      <w:r w:rsidRPr="00330DB3">
        <w:rPr>
          <w:rFonts w:eastAsia="Times New Roman" w:cstheme="minorHAnsi"/>
          <w:lang w:eastAsia="el-GR"/>
        </w:rPr>
        <w:t xml:space="preserve"> 45% των εκπαιδευτικών. Οι εκπαιδευτικοί σε αυτή την κατηγορία είχαν κάποιες βασικές γνώσεις, αλλά ένιωθαν ανασφαλείς ή χρει</w:t>
      </w:r>
      <w:r w:rsidR="00B46757">
        <w:rPr>
          <w:rFonts w:eastAsia="Times New Roman" w:cstheme="minorHAnsi"/>
          <w:lang w:eastAsia="el-GR"/>
        </w:rPr>
        <w:t>άζονταν περαιτέρω υποστήριξη, γ)</w:t>
      </w:r>
      <w:r w:rsidR="00B46757">
        <w:rPr>
          <w:rFonts w:eastAsia="Times New Roman" w:cstheme="minorHAnsi"/>
          <w:bCs/>
          <w:lang w:eastAsia="el-GR"/>
        </w:rPr>
        <w:t>Υψηλή ε</w:t>
      </w:r>
      <w:r w:rsidRPr="00330DB3">
        <w:rPr>
          <w:rFonts w:eastAsia="Times New Roman" w:cstheme="minorHAnsi"/>
          <w:bCs/>
          <w:lang w:eastAsia="el-GR"/>
        </w:rPr>
        <w:t>τοιμότητα (3.5-5.0):</w:t>
      </w:r>
      <w:r w:rsidRPr="00330DB3">
        <w:rPr>
          <w:rFonts w:eastAsia="Times New Roman" w:cstheme="minorHAnsi"/>
          <w:lang w:eastAsia="el-GR"/>
        </w:rPr>
        <w:t xml:space="preserve"> Μόνο το 25% των εκπαιδευτικών. Αυτή η μικρή ομάδα δήλωσε υψηλή αυτοπεποίθηση και ικανότητα στην ενσωμάτωση της ΤΝ.</w:t>
      </w: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Επιπλέον, το 70% των εκπαιδευτικών εξέφρασε έντονη προθυμία να παρακολουθήσει προγράμματα κατάρτισης στην ΤΝ, υπογραμμίζοντας μια σημαντική ανάγκη για επαγγελματική ανάπτυξη.</w:t>
      </w:r>
    </w:p>
    <w:p w:rsidR="006966BC" w:rsidRPr="00D170D7" w:rsidRDefault="00330DB3" w:rsidP="00D170D7">
      <w:pPr>
        <w:suppressAutoHyphens/>
        <w:spacing w:before="240" w:after="0" w:line="240" w:lineRule="auto"/>
        <w:jc w:val="center"/>
        <w:rPr>
          <w:rFonts w:ascii="Calibri" w:eastAsia="Times New Roman" w:hAnsi="Calibri" w:cs="Times New Roman"/>
          <w:b/>
          <w:bCs/>
          <w:lang w:eastAsia="zh-CN"/>
        </w:rPr>
      </w:pPr>
      <w:r w:rsidRPr="00D170D7">
        <w:rPr>
          <w:rFonts w:ascii="Calibri" w:eastAsia="Times New Roman" w:hAnsi="Calibri" w:cs="Times New Roman"/>
          <w:b/>
          <w:bCs/>
          <w:lang w:eastAsia="zh-CN"/>
        </w:rPr>
        <w:t xml:space="preserve">Πίνακας 1: Κατανομή της </w:t>
      </w:r>
      <w:proofErr w:type="spellStart"/>
      <w:r w:rsidRPr="00D170D7">
        <w:rPr>
          <w:rFonts w:ascii="Calibri" w:eastAsia="Times New Roman" w:hAnsi="Calibri" w:cs="Times New Roman"/>
          <w:b/>
          <w:bCs/>
          <w:lang w:eastAsia="zh-CN"/>
        </w:rPr>
        <w:t>Αυτοαντιλαμβανόμενης</w:t>
      </w:r>
      <w:proofErr w:type="spellEnd"/>
      <w:r w:rsidRPr="00D170D7">
        <w:rPr>
          <w:rFonts w:ascii="Calibri" w:eastAsia="Times New Roman" w:hAnsi="Calibri" w:cs="Times New Roman"/>
          <w:b/>
          <w:bCs/>
          <w:lang w:eastAsia="zh-CN"/>
        </w:rPr>
        <w:t xml:space="preserve"> Ετοιμότητας των Εκπαιδευτικών στην ΤΝ (N=500)</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2465"/>
        <w:gridCol w:w="2327"/>
        <w:gridCol w:w="1550"/>
      </w:tblGrid>
      <w:tr w:rsidR="00CC719B" w:rsidRPr="00330DB3" w:rsidTr="00D170D7">
        <w:trPr>
          <w:tblCellSpacing w:w="15" w:type="dxa"/>
        </w:trPr>
        <w:tc>
          <w:tcPr>
            <w:tcW w:w="0" w:type="auto"/>
            <w:tcBorders>
              <w:top w:val="nil"/>
              <w:bottom w:val="single" w:sz="4" w:space="0" w:color="auto"/>
            </w:tcBorders>
            <w:vAlign w:val="center"/>
            <w:hideMark/>
          </w:tcPr>
          <w:p w:rsidR="00330DB3" w:rsidRPr="00330DB3" w:rsidRDefault="00330DB3" w:rsidP="00D170D7">
            <w:pPr>
              <w:spacing w:after="0" w:line="240" w:lineRule="auto"/>
              <w:ind w:left="82"/>
              <w:jc w:val="center"/>
              <w:rPr>
                <w:rFonts w:eastAsia="Times New Roman" w:cstheme="minorHAnsi"/>
                <w:b/>
                <w:bCs/>
                <w:lang w:eastAsia="el-GR"/>
              </w:rPr>
            </w:pPr>
            <w:r w:rsidRPr="00330DB3">
              <w:rPr>
                <w:rFonts w:eastAsia="Times New Roman" w:cstheme="minorHAnsi"/>
                <w:b/>
                <w:bCs/>
                <w:lang w:eastAsia="el-GR"/>
              </w:rPr>
              <w:t>Επίπεδο Ετοιμότητας</w:t>
            </w:r>
          </w:p>
        </w:tc>
        <w:tc>
          <w:tcPr>
            <w:tcW w:w="0" w:type="auto"/>
            <w:tcBorders>
              <w:top w:val="nil"/>
              <w:bottom w:val="single" w:sz="4" w:space="0" w:color="auto"/>
            </w:tcBorders>
            <w:vAlign w:val="center"/>
            <w:hideMark/>
          </w:tcPr>
          <w:p w:rsidR="00330DB3" w:rsidRPr="00330DB3" w:rsidRDefault="00330DB3" w:rsidP="00D170D7">
            <w:pPr>
              <w:spacing w:after="0" w:line="240" w:lineRule="auto"/>
              <w:jc w:val="center"/>
              <w:rPr>
                <w:rFonts w:eastAsia="Times New Roman" w:cstheme="minorHAnsi"/>
                <w:b/>
                <w:bCs/>
                <w:lang w:eastAsia="el-GR"/>
              </w:rPr>
            </w:pPr>
            <w:r w:rsidRPr="00330DB3">
              <w:rPr>
                <w:rFonts w:eastAsia="Times New Roman" w:cstheme="minorHAnsi"/>
                <w:b/>
                <w:bCs/>
                <w:lang w:eastAsia="el-GR"/>
              </w:rPr>
              <w:t>Ποσοστό Εκπαιδευτικών (%)</w:t>
            </w:r>
          </w:p>
        </w:tc>
        <w:tc>
          <w:tcPr>
            <w:tcW w:w="0" w:type="auto"/>
            <w:tcBorders>
              <w:top w:val="nil"/>
              <w:bottom w:val="single" w:sz="4" w:space="0" w:color="auto"/>
            </w:tcBorders>
            <w:vAlign w:val="center"/>
            <w:hideMark/>
          </w:tcPr>
          <w:p w:rsidR="00330DB3" w:rsidRPr="00330DB3" w:rsidRDefault="00330DB3" w:rsidP="00D170D7">
            <w:pPr>
              <w:spacing w:after="0" w:line="240" w:lineRule="auto"/>
              <w:ind w:hanging="14"/>
              <w:jc w:val="center"/>
              <w:rPr>
                <w:rFonts w:eastAsia="Times New Roman" w:cstheme="minorHAnsi"/>
                <w:b/>
                <w:bCs/>
                <w:lang w:eastAsia="el-GR"/>
              </w:rPr>
            </w:pPr>
            <w:r w:rsidRPr="00330DB3">
              <w:rPr>
                <w:rFonts w:eastAsia="Times New Roman" w:cstheme="minorHAnsi"/>
                <w:b/>
                <w:bCs/>
                <w:lang w:eastAsia="el-GR"/>
              </w:rPr>
              <w:t>Μέσος Όρος (Κλίμακα 1-5)</w:t>
            </w:r>
          </w:p>
        </w:tc>
        <w:tc>
          <w:tcPr>
            <w:tcW w:w="0" w:type="auto"/>
            <w:tcBorders>
              <w:top w:val="nil"/>
              <w:bottom w:val="single" w:sz="4" w:space="0" w:color="auto"/>
            </w:tcBorders>
            <w:vAlign w:val="center"/>
            <w:hideMark/>
          </w:tcPr>
          <w:p w:rsidR="00330DB3" w:rsidRPr="00330DB3" w:rsidRDefault="00330DB3" w:rsidP="00D170D7">
            <w:pPr>
              <w:spacing w:after="0" w:line="240" w:lineRule="auto"/>
              <w:jc w:val="center"/>
              <w:rPr>
                <w:rFonts w:eastAsia="Times New Roman" w:cstheme="minorHAnsi"/>
                <w:b/>
                <w:bCs/>
                <w:lang w:eastAsia="el-GR"/>
              </w:rPr>
            </w:pPr>
            <w:r w:rsidRPr="00330DB3">
              <w:rPr>
                <w:rFonts w:eastAsia="Times New Roman" w:cstheme="minorHAnsi"/>
                <w:b/>
                <w:bCs/>
                <w:lang w:eastAsia="el-GR"/>
              </w:rPr>
              <w:t>Τυπική Απόκλιση</w:t>
            </w:r>
          </w:p>
        </w:tc>
      </w:tr>
      <w:tr w:rsidR="00CC719B" w:rsidRPr="00330DB3" w:rsidTr="00D170D7">
        <w:trPr>
          <w:tblCellSpacing w:w="15" w:type="dxa"/>
        </w:trPr>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Χαμηλή</w:t>
            </w:r>
          </w:p>
        </w:tc>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30%</w:t>
            </w:r>
          </w:p>
        </w:tc>
        <w:tc>
          <w:tcPr>
            <w:tcW w:w="0" w:type="auto"/>
            <w:vAlign w:val="center"/>
            <w:hideMark/>
          </w:tcPr>
          <w:p w:rsidR="00330DB3" w:rsidRPr="00330DB3" w:rsidRDefault="00330DB3" w:rsidP="00D170D7">
            <w:pPr>
              <w:spacing w:after="0" w:line="240" w:lineRule="auto"/>
              <w:jc w:val="center"/>
              <w:rPr>
                <w:rFonts w:eastAsia="Times New Roman" w:cstheme="minorHAnsi"/>
                <w:lang w:eastAsia="el-GR"/>
              </w:rPr>
            </w:pPr>
            <w:r w:rsidRPr="00330DB3">
              <w:rPr>
                <w:rFonts w:eastAsia="Times New Roman" w:cstheme="minorHAnsi"/>
                <w:lang w:eastAsia="el-GR"/>
              </w:rPr>
              <w:t>2.1</w:t>
            </w:r>
          </w:p>
        </w:tc>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0.4</w:t>
            </w:r>
          </w:p>
        </w:tc>
      </w:tr>
      <w:tr w:rsidR="00CC719B" w:rsidRPr="00330DB3" w:rsidTr="00D170D7">
        <w:trPr>
          <w:tblCellSpacing w:w="15" w:type="dxa"/>
        </w:trPr>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Μέτρια</w:t>
            </w:r>
          </w:p>
        </w:tc>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45%</w:t>
            </w:r>
          </w:p>
        </w:tc>
        <w:tc>
          <w:tcPr>
            <w:tcW w:w="0" w:type="auto"/>
            <w:vAlign w:val="center"/>
            <w:hideMark/>
          </w:tcPr>
          <w:p w:rsidR="00330DB3" w:rsidRPr="00330DB3" w:rsidRDefault="00330DB3" w:rsidP="00D170D7">
            <w:pPr>
              <w:spacing w:after="0" w:line="240" w:lineRule="auto"/>
              <w:jc w:val="center"/>
              <w:rPr>
                <w:rFonts w:eastAsia="Times New Roman" w:cstheme="minorHAnsi"/>
                <w:lang w:eastAsia="el-GR"/>
              </w:rPr>
            </w:pPr>
            <w:r w:rsidRPr="00330DB3">
              <w:rPr>
                <w:rFonts w:eastAsia="Times New Roman" w:cstheme="minorHAnsi"/>
                <w:lang w:eastAsia="el-GR"/>
              </w:rPr>
              <w:t>2.9</w:t>
            </w:r>
          </w:p>
        </w:tc>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0.3</w:t>
            </w:r>
          </w:p>
        </w:tc>
      </w:tr>
      <w:tr w:rsidR="00CC719B" w:rsidRPr="00330DB3" w:rsidTr="00D170D7">
        <w:trPr>
          <w:tblCellSpacing w:w="15" w:type="dxa"/>
        </w:trPr>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Υψηλή</w:t>
            </w:r>
          </w:p>
        </w:tc>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25%</w:t>
            </w:r>
          </w:p>
        </w:tc>
        <w:tc>
          <w:tcPr>
            <w:tcW w:w="0" w:type="auto"/>
            <w:vAlign w:val="center"/>
            <w:hideMark/>
          </w:tcPr>
          <w:p w:rsidR="00330DB3" w:rsidRPr="00330DB3" w:rsidRDefault="00330DB3" w:rsidP="00D170D7">
            <w:pPr>
              <w:spacing w:after="0" w:line="240" w:lineRule="auto"/>
              <w:jc w:val="center"/>
              <w:rPr>
                <w:rFonts w:eastAsia="Times New Roman" w:cstheme="minorHAnsi"/>
                <w:lang w:eastAsia="el-GR"/>
              </w:rPr>
            </w:pPr>
            <w:r w:rsidRPr="00330DB3">
              <w:rPr>
                <w:rFonts w:eastAsia="Times New Roman" w:cstheme="minorHAnsi"/>
                <w:lang w:eastAsia="el-GR"/>
              </w:rPr>
              <w:t>4.1</w:t>
            </w:r>
          </w:p>
        </w:tc>
        <w:tc>
          <w:tcPr>
            <w:tcW w:w="0" w:type="auto"/>
            <w:vAlign w:val="center"/>
            <w:hideMark/>
          </w:tcPr>
          <w:p w:rsidR="00330DB3" w:rsidRPr="00330DB3" w:rsidRDefault="00330DB3" w:rsidP="00D170D7">
            <w:pPr>
              <w:spacing w:after="0" w:line="240" w:lineRule="auto"/>
              <w:ind w:firstLine="284"/>
              <w:jc w:val="center"/>
              <w:rPr>
                <w:rFonts w:eastAsia="Times New Roman" w:cstheme="minorHAnsi"/>
                <w:lang w:eastAsia="el-GR"/>
              </w:rPr>
            </w:pPr>
            <w:r w:rsidRPr="00330DB3">
              <w:rPr>
                <w:rFonts w:eastAsia="Times New Roman" w:cstheme="minorHAnsi"/>
                <w:lang w:eastAsia="el-GR"/>
              </w:rPr>
              <w:t>0.5</w:t>
            </w:r>
          </w:p>
        </w:tc>
      </w:tr>
    </w:tbl>
    <w:p w:rsidR="006966BC" w:rsidRDefault="006966BC" w:rsidP="006966BC">
      <w:pPr>
        <w:spacing w:after="0" w:line="240" w:lineRule="auto"/>
        <w:ind w:firstLine="284"/>
        <w:jc w:val="both"/>
        <w:rPr>
          <w:rFonts w:eastAsia="Times New Roman" w:cstheme="minorHAnsi"/>
          <w:b/>
          <w:bCs/>
          <w:lang w:eastAsia="el-GR"/>
        </w:rPr>
      </w:pP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Προκλήσεις:</w:t>
      </w:r>
      <w:r w:rsidRPr="00330DB3">
        <w:rPr>
          <w:rFonts w:eastAsia="Times New Roman" w:cstheme="minorHAnsi"/>
          <w:lang w:eastAsia="el-GR"/>
        </w:rPr>
        <w:t xml:space="preserve"> Οι αντιλαμβανόμενες προκλήσεις αξιολογήθηκαν στην Κλίμακα Αντιλαμβανόμενων Προκλήσεων της Ενσωμάτωσης της ΤΝ (ΚΑΠ-ΤΝ). Οι τρεις κορυφαίες προκλήσεις που αναφέρθηκαν από τους εκπαιδευτικούς ως "Σημαντικές" ή "Πολύ Σημαντικές" παρουσιάζονται στον Πίνακα 2. Η έλλειψη επαρκούς επαγγελματικής ανάπτυξης αναδείχθηκε ως η σημαντικότερη πρόκληση, με το 92% των εκπαιδευτικών να την χαρακτηρίζουν ως τέτοια (Μ=4.5, Τ.Α.=0.7). Ακολούθησε η ανεπαρκής πρόσβαση σε κατάλληλα εργαλεία ΤΝ και υποδομές (π.χ., γρήγορο διαδίκτυο, επαρκείς συσκευές), την οποία θεώρησε σημαντική το 85% των εκπαιδευτικών (Μ=4.2, Τ.Α.=0.9). Οι ανησυχίες για την </w:t>
      </w:r>
      <w:proofErr w:type="spellStart"/>
      <w:r w:rsidRPr="00330DB3">
        <w:rPr>
          <w:rFonts w:eastAsia="Times New Roman" w:cstheme="minorHAnsi"/>
          <w:lang w:eastAsia="el-GR"/>
        </w:rPr>
        <w:t>ιδιωτικότητα</w:t>
      </w:r>
      <w:proofErr w:type="spellEnd"/>
      <w:r w:rsidRPr="00330DB3">
        <w:rPr>
          <w:rFonts w:eastAsia="Times New Roman" w:cstheme="minorHAnsi"/>
          <w:lang w:eastAsia="el-GR"/>
        </w:rPr>
        <w:t xml:space="preserve"> των δεδομένων και τις ηθικές προεκτάσεις της χρήσης ΤΝ στην τάξη ήταν επίσης μια κορυφαία ανησυχία για το 80% των συμμετεχόντων (Μ=4.0, Τ.Α.=0.8).</w:t>
      </w:r>
    </w:p>
    <w:p w:rsidR="006966BC" w:rsidRPr="00330DB3" w:rsidRDefault="006966BC" w:rsidP="006966BC">
      <w:pPr>
        <w:spacing w:after="0" w:line="240" w:lineRule="auto"/>
        <w:ind w:firstLine="284"/>
        <w:jc w:val="both"/>
        <w:rPr>
          <w:rFonts w:eastAsia="Times New Roman" w:cstheme="minorHAnsi"/>
          <w:lang w:eastAsia="el-GR"/>
        </w:rPr>
      </w:pPr>
    </w:p>
    <w:p w:rsidR="006966BC" w:rsidRPr="00D170D7" w:rsidRDefault="00330DB3" w:rsidP="00D170D7">
      <w:pPr>
        <w:suppressAutoHyphens/>
        <w:spacing w:before="240" w:after="0" w:line="240" w:lineRule="auto"/>
        <w:jc w:val="center"/>
        <w:rPr>
          <w:rFonts w:ascii="Calibri" w:eastAsia="Times New Roman" w:hAnsi="Calibri" w:cs="Times New Roman"/>
          <w:b/>
          <w:bCs/>
          <w:lang w:eastAsia="zh-CN"/>
        </w:rPr>
      </w:pPr>
      <w:r w:rsidRPr="00D170D7">
        <w:rPr>
          <w:rFonts w:ascii="Calibri" w:eastAsia="Times New Roman" w:hAnsi="Calibri" w:cs="Times New Roman"/>
          <w:b/>
          <w:bCs/>
          <w:lang w:eastAsia="zh-CN"/>
        </w:rPr>
        <w:t>Πίνακας 2: Συχνότητα Αναφοράς των Κορυφαίων Προκλήσεων στην Ενσωμάτωση της ΤΝ (N=500)</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01"/>
        <w:gridCol w:w="3205"/>
        <w:gridCol w:w="1331"/>
        <w:gridCol w:w="1169"/>
      </w:tblGrid>
      <w:tr w:rsidR="00CC719B" w:rsidRPr="00330DB3" w:rsidTr="00D170D7">
        <w:trPr>
          <w:tblCellSpacing w:w="15" w:type="dxa"/>
          <w:jc w:val="center"/>
        </w:trPr>
        <w:tc>
          <w:tcPr>
            <w:tcW w:w="0" w:type="auto"/>
            <w:tcBorders>
              <w:top w:val="nil"/>
              <w:bottom w:val="single" w:sz="4" w:space="0" w:color="auto"/>
            </w:tcBorders>
            <w:vAlign w:val="center"/>
            <w:hideMark/>
          </w:tcPr>
          <w:p w:rsidR="00330DB3" w:rsidRPr="00330DB3" w:rsidRDefault="00330DB3" w:rsidP="00CC719B">
            <w:pPr>
              <w:spacing w:after="0" w:line="240" w:lineRule="auto"/>
              <w:jc w:val="both"/>
              <w:rPr>
                <w:rFonts w:eastAsia="Times New Roman" w:cstheme="minorHAnsi"/>
                <w:b/>
                <w:bCs/>
                <w:lang w:eastAsia="el-GR"/>
              </w:rPr>
            </w:pPr>
            <w:r w:rsidRPr="00330DB3">
              <w:rPr>
                <w:rFonts w:eastAsia="Times New Roman" w:cstheme="minorHAnsi"/>
                <w:b/>
                <w:bCs/>
                <w:lang w:eastAsia="el-GR"/>
              </w:rPr>
              <w:lastRenderedPageBreak/>
              <w:t>Πρόκληση</w:t>
            </w:r>
          </w:p>
        </w:tc>
        <w:tc>
          <w:tcPr>
            <w:tcW w:w="0" w:type="auto"/>
            <w:tcBorders>
              <w:top w:val="nil"/>
              <w:bottom w:val="single" w:sz="4" w:space="0" w:color="auto"/>
            </w:tcBorders>
            <w:vAlign w:val="center"/>
            <w:hideMark/>
          </w:tcPr>
          <w:p w:rsidR="00330DB3" w:rsidRPr="00330DB3" w:rsidRDefault="00330DB3" w:rsidP="00CC719B">
            <w:pPr>
              <w:spacing w:after="0" w:line="240" w:lineRule="auto"/>
              <w:ind w:hanging="20"/>
              <w:rPr>
                <w:rFonts w:eastAsia="Times New Roman" w:cstheme="minorHAnsi"/>
                <w:b/>
                <w:bCs/>
                <w:lang w:eastAsia="el-GR"/>
              </w:rPr>
            </w:pPr>
            <w:r w:rsidRPr="00330DB3">
              <w:rPr>
                <w:rFonts w:eastAsia="Times New Roman" w:cstheme="minorHAnsi"/>
                <w:b/>
                <w:bCs/>
                <w:lang w:eastAsia="el-GR"/>
              </w:rPr>
              <w:t>Ποσοστό Εκπαιδευτικών (%) που την χαρακτηρίζουν "Σημαντική/Πολύ Σημαντική"</w:t>
            </w:r>
          </w:p>
        </w:tc>
        <w:tc>
          <w:tcPr>
            <w:tcW w:w="0" w:type="auto"/>
            <w:tcBorders>
              <w:top w:val="nil"/>
              <w:bottom w:val="single" w:sz="4" w:space="0" w:color="auto"/>
            </w:tcBorders>
            <w:vAlign w:val="center"/>
            <w:hideMark/>
          </w:tcPr>
          <w:p w:rsidR="00330DB3" w:rsidRPr="00330DB3" w:rsidRDefault="00330DB3" w:rsidP="00CC719B">
            <w:pPr>
              <w:spacing w:after="0" w:line="240" w:lineRule="auto"/>
              <w:ind w:hanging="23"/>
              <w:rPr>
                <w:rFonts w:eastAsia="Times New Roman" w:cstheme="minorHAnsi"/>
                <w:b/>
                <w:bCs/>
                <w:lang w:eastAsia="el-GR"/>
              </w:rPr>
            </w:pPr>
            <w:r w:rsidRPr="00330DB3">
              <w:rPr>
                <w:rFonts w:eastAsia="Times New Roman" w:cstheme="minorHAnsi"/>
                <w:b/>
                <w:bCs/>
                <w:lang w:eastAsia="el-GR"/>
              </w:rPr>
              <w:t>Μέσος Όρος (Κλίμακα 1-5)</w:t>
            </w:r>
          </w:p>
        </w:tc>
        <w:tc>
          <w:tcPr>
            <w:tcW w:w="0" w:type="auto"/>
            <w:tcBorders>
              <w:top w:val="nil"/>
              <w:bottom w:val="single" w:sz="4" w:space="0" w:color="auto"/>
            </w:tcBorders>
            <w:vAlign w:val="center"/>
            <w:hideMark/>
          </w:tcPr>
          <w:p w:rsidR="00330DB3" w:rsidRPr="00330DB3" w:rsidRDefault="00330DB3" w:rsidP="006966BC">
            <w:pPr>
              <w:spacing w:after="0" w:line="240" w:lineRule="auto"/>
              <w:ind w:hanging="4"/>
              <w:jc w:val="both"/>
              <w:rPr>
                <w:rFonts w:eastAsia="Times New Roman" w:cstheme="minorHAnsi"/>
                <w:b/>
                <w:bCs/>
                <w:lang w:eastAsia="el-GR"/>
              </w:rPr>
            </w:pPr>
            <w:r w:rsidRPr="00330DB3">
              <w:rPr>
                <w:rFonts w:eastAsia="Times New Roman" w:cstheme="minorHAnsi"/>
                <w:b/>
                <w:bCs/>
                <w:lang w:eastAsia="el-GR"/>
              </w:rPr>
              <w:t>Τυπική Απόκλιση</w:t>
            </w:r>
          </w:p>
        </w:tc>
      </w:tr>
      <w:tr w:rsidR="00CC719B" w:rsidRPr="00330DB3" w:rsidTr="00D170D7">
        <w:trPr>
          <w:tblCellSpacing w:w="15" w:type="dxa"/>
          <w:jc w:val="center"/>
        </w:trPr>
        <w:tc>
          <w:tcPr>
            <w:tcW w:w="0" w:type="auto"/>
            <w:vAlign w:val="center"/>
            <w:hideMark/>
          </w:tcPr>
          <w:p w:rsidR="00330DB3" w:rsidRPr="00330DB3" w:rsidRDefault="00330DB3" w:rsidP="00CC719B">
            <w:pPr>
              <w:spacing w:after="0" w:line="240" w:lineRule="auto"/>
              <w:ind w:firstLine="284"/>
              <w:rPr>
                <w:rFonts w:eastAsia="Times New Roman" w:cstheme="minorHAnsi"/>
                <w:lang w:eastAsia="el-GR"/>
              </w:rPr>
            </w:pPr>
            <w:r w:rsidRPr="00330DB3">
              <w:rPr>
                <w:rFonts w:eastAsia="Times New Roman" w:cstheme="minorHAnsi"/>
                <w:lang w:eastAsia="el-GR"/>
              </w:rPr>
              <w:t>Έλλειψη επαρκούς επαγγελματικής ανάπτυξης</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92%</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4.5</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0.7</w:t>
            </w:r>
          </w:p>
        </w:tc>
      </w:tr>
      <w:tr w:rsidR="00CC719B" w:rsidRPr="00330DB3" w:rsidTr="00D170D7">
        <w:trPr>
          <w:tblCellSpacing w:w="15" w:type="dxa"/>
          <w:jc w:val="center"/>
        </w:trPr>
        <w:tc>
          <w:tcPr>
            <w:tcW w:w="0" w:type="auto"/>
            <w:vAlign w:val="center"/>
            <w:hideMark/>
          </w:tcPr>
          <w:p w:rsidR="00330DB3" w:rsidRPr="00330DB3" w:rsidRDefault="00330DB3" w:rsidP="00CC719B">
            <w:pPr>
              <w:spacing w:after="0" w:line="240" w:lineRule="auto"/>
              <w:ind w:firstLine="284"/>
              <w:rPr>
                <w:rFonts w:eastAsia="Times New Roman" w:cstheme="minorHAnsi"/>
                <w:lang w:eastAsia="el-GR"/>
              </w:rPr>
            </w:pPr>
            <w:r w:rsidRPr="00330DB3">
              <w:rPr>
                <w:rFonts w:eastAsia="Times New Roman" w:cstheme="minorHAnsi"/>
                <w:lang w:eastAsia="el-GR"/>
              </w:rPr>
              <w:t>Ανεπαρκής πρόσβαση σε εργαλεία ΤΝ και υποδομές</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85%</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4.2</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0.9</w:t>
            </w:r>
          </w:p>
        </w:tc>
      </w:tr>
      <w:tr w:rsidR="00CC719B" w:rsidRPr="00330DB3" w:rsidTr="00D170D7">
        <w:trPr>
          <w:tblCellSpacing w:w="15" w:type="dxa"/>
          <w:jc w:val="center"/>
        </w:trPr>
        <w:tc>
          <w:tcPr>
            <w:tcW w:w="0" w:type="auto"/>
            <w:vAlign w:val="center"/>
            <w:hideMark/>
          </w:tcPr>
          <w:p w:rsidR="00330DB3" w:rsidRPr="00330DB3" w:rsidRDefault="00330DB3" w:rsidP="00CC719B">
            <w:pPr>
              <w:spacing w:after="0" w:line="240" w:lineRule="auto"/>
              <w:ind w:firstLine="284"/>
              <w:rPr>
                <w:rFonts w:eastAsia="Times New Roman" w:cstheme="minorHAnsi"/>
                <w:lang w:eastAsia="el-GR"/>
              </w:rPr>
            </w:pPr>
            <w:r w:rsidRPr="00330DB3">
              <w:rPr>
                <w:rFonts w:eastAsia="Times New Roman" w:cstheme="minorHAnsi"/>
                <w:lang w:eastAsia="el-GR"/>
              </w:rPr>
              <w:t xml:space="preserve">Ανησυχίες για </w:t>
            </w:r>
            <w:proofErr w:type="spellStart"/>
            <w:r w:rsidRPr="00330DB3">
              <w:rPr>
                <w:rFonts w:eastAsia="Times New Roman" w:cstheme="minorHAnsi"/>
                <w:lang w:eastAsia="el-GR"/>
              </w:rPr>
              <w:t>ιδιωτικότητα</w:t>
            </w:r>
            <w:proofErr w:type="spellEnd"/>
            <w:r w:rsidRPr="00330DB3">
              <w:rPr>
                <w:rFonts w:eastAsia="Times New Roman" w:cstheme="minorHAnsi"/>
                <w:lang w:eastAsia="el-GR"/>
              </w:rPr>
              <w:t xml:space="preserve"> δεδομένων και ηθικά ζητήματα</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80%</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4.0</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0.8</w:t>
            </w:r>
          </w:p>
        </w:tc>
      </w:tr>
      <w:tr w:rsidR="00CC719B" w:rsidRPr="00330DB3" w:rsidTr="00D170D7">
        <w:trPr>
          <w:tblCellSpacing w:w="15" w:type="dxa"/>
          <w:jc w:val="center"/>
        </w:trPr>
        <w:tc>
          <w:tcPr>
            <w:tcW w:w="0" w:type="auto"/>
            <w:vAlign w:val="center"/>
            <w:hideMark/>
          </w:tcPr>
          <w:p w:rsidR="00330DB3" w:rsidRPr="00330DB3" w:rsidRDefault="00330DB3" w:rsidP="00CC719B">
            <w:pPr>
              <w:spacing w:after="0" w:line="240" w:lineRule="auto"/>
              <w:ind w:firstLine="284"/>
              <w:rPr>
                <w:rFonts w:eastAsia="Times New Roman" w:cstheme="minorHAnsi"/>
                <w:lang w:eastAsia="el-GR"/>
              </w:rPr>
            </w:pPr>
            <w:r w:rsidRPr="00330DB3">
              <w:rPr>
                <w:rFonts w:eastAsia="Times New Roman" w:cstheme="minorHAnsi"/>
                <w:lang w:eastAsia="el-GR"/>
              </w:rPr>
              <w:t>Χρονικοί περιορισμοί για μάθηση και εφαρμογή</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75%</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3.8</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0.95</w:t>
            </w:r>
          </w:p>
        </w:tc>
      </w:tr>
      <w:tr w:rsidR="00CC719B" w:rsidRPr="00330DB3" w:rsidTr="00D170D7">
        <w:trPr>
          <w:tblCellSpacing w:w="15" w:type="dxa"/>
          <w:jc w:val="center"/>
        </w:trPr>
        <w:tc>
          <w:tcPr>
            <w:tcW w:w="0" w:type="auto"/>
            <w:vAlign w:val="center"/>
            <w:hideMark/>
          </w:tcPr>
          <w:p w:rsidR="00330DB3" w:rsidRPr="00330DB3" w:rsidRDefault="00330DB3" w:rsidP="00CC719B">
            <w:pPr>
              <w:spacing w:after="0" w:line="240" w:lineRule="auto"/>
              <w:ind w:firstLine="284"/>
              <w:rPr>
                <w:rFonts w:eastAsia="Times New Roman" w:cstheme="minorHAnsi"/>
                <w:lang w:eastAsia="el-GR"/>
              </w:rPr>
            </w:pPr>
            <w:r w:rsidRPr="00330DB3">
              <w:rPr>
                <w:rFonts w:eastAsia="Times New Roman" w:cstheme="minorHAnsi"/>
                <w:lang w:eastAsia="el-GR"/>
              </w:rPr>
              <w:t>Έλλειψη σαφών κατευθυντήριων γραμμών / πολιτικών</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68%</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3.6</w:t>
            </w:r>
          </w:p>
        </w:tc>
        <w:tc>
          <w:tcPr>
            <w:tcW w:w="0" w:type="auto"/>
            <w:vAlign w:val="center"/>
            <w:hideMark/>
          </w:tcPr>
          <w:p w:rsidR="00330DB3" w:rsidRPr="00330DB3" w:rsidRDefault="00330DB3" w:rsidP="00CC719B">
            <w:pPr>
              <w:spacing w:after="0" w:line="240" w:lineRule="auto"/>
              <w:ind w:firstLine="284"/>
              <w:jc w:val="center"/>
              <w:rPr>
                <w:rFonts w:eastAsia="Times New Roman" w:cstheme="minorHAnsi"/>
                <w:lang w:eastAsia="el-GR"/>
              </w:rPr>
            </w:pPr>
            <w:r w:rsidRPr="00330DB3">
              <w:rPr>
                <w:rFonts w:eastAsia="Times New Roman" w:cstheme="minorHAnsi"/>
                <w:lang w:eastAsia="el-GR"/>
              </w:rPr>
              <w:t>0.9</w:t>
            </w:r>
          </w:p>
        </w:tc>
      </w:tr>
    </w:tbl>
    <w:p w:rsidR="006966BC" w:rsidRDefault="006966BC" w:rsidP="006966BC">
      <w:pPr>
        <w:spacing w:after="0" w:line="240" w:lineRule="auto"/>
        <w:ind w:firstLine="284"/>
        <w:jc w:val="both"/>
        <w:rPr>
          <w:rFonts w:eastAsia="Times New Roman" w:cstheme="minorHAnsi"/>
          <w:lang w:eastAsia="el-GR"/>
        </w:rPr>
      </w:pPr>
    </w:p>
    <w:p w:rsidR="00330DB3" w:rsidRDefault="00330DB3" w:rsidP="0014175E">
      <w:pPr>
        <w:spacing w:after="0" w:line="240" w:lineRule="auto"/>
        <w:ind w:firstLine="284"/>
        <w:jc w:val="both"/>
        <w:rPr>
          <w:rFonts w:eastAsia="Times New Roman" w:cstheme="minorHAnsi"/>
          <w:lang w:eastAsia="el-GR"/>
        </w:rPr>
      </w:pPr>
      <w:r w:rsidRPr="00330DB3">
        <w:rPr>
          <w:rFonts w:eastAsia="Times New Roman" w:cstheme="minorHAnsi"/>
          <w:bCs/>
          <w:lang w:eastAsia="el-GR"/>
        </w:rPr>
        <w:t>Στάσεις:</w:t>
      </w:r>
      <w:r w:rsidRPr="00330DB3">
        <w:rPr>
          <w:rFonts w:eastAsia="Times New Roman" w:cstheme="minorHAnsi"/>
          <w:lang w:eastAsia="el-GR"/>
        </w:rPr>
        <w:t xml:space="preserve"> Οι εκπαιδευτικοί επέδειξαν μια συνολικά θετική αλλά επιφυλακτική στάση απέναντι στην ΤΝ, όπως μετρήθηκε στην Κλίμακα Στάσεων ΤΝ. Οι αντιλαμβανόμεν</w:t>
      </w:r>
      <w:r w:rsidR="0014175E">
        <w:rPr>
          <w:rFonts w:eastAsia="Times New Roman" w:cstheme="minorHAnsi"/>
          <w:lang w:eastAsia="el-GR"/>
        </w:rPr>
        <w:t>ες θετικές πτυχές περιελάμβαναν τ</w:t>
      </w:r>
      <w:r w:rsidRPr="00330DB3">
        <w:rPr>
          <w:rFonts w:eastAsia="Times New Roman" w:cstheme="minorHAnsi"/>
          <w:lang w:eastAsia="el-GR"/>
        </w:rPr>
        <w:t>η δυνατότητα της ΤΝ να εξατομικεύσει τη μάθηση (Μ=4.1, Τ.Α.=0.6), με το 65% των εκπαιδευτικών να συμφωνεί ή να συμφωνεί απόλυτα.</w:t>
      </w:r>
      <w:r w:rsidR="0014175E">
        <w:rPr>
          <w:rFonts w:eastAsia="Times New Roman" w:cstheme="minorHAnsi"/>
          <w:lang w:eastAsia="el-GR"/>
        </w:rPr>
        <w:t xml:space="preserve"> Τ</w:t>
      </w:r>
      <w:r w:rsidRPr="00330DB3">
        <w:rPr>
          <w:rFonts w:eastAsia="Times New Roman" w:cstheme="minorHAnsi"/>
          <w:lang w:eastAsia="el-GR"/>
        </w:rPr>
        <w:t>η δυνατότητα της ΤΝ να μειώσει τον διοικητικό φόρτο εργασίας (Μ=3.9, Τ.Α.=0.7), με το 55% να εκφράζει παρόμοια άποψη.</w:t>
      </w:r>
      <w:r w:rsidR="0014175E">
        <w:rPr>
          <w:rFonts w:eastAsia="Times New Roman" w:cstheme="minorHAnsi"/>
          <w:lang w:eastAsia="el-GR"/>
        </w:rPr>
        <w:t xml:space="preserve"> </w:t>
      </w:r>
      <w:r w:rsidRPr="00330DB3">
        <w:rPr>
          <w:rFonts w:eastAsia="Times New Roman" w:cstheme="minorHAnsi"/>
          <w:lang w:eastAsia="el-GR"/>
        </w:rPr>
        <w:t>Ωστόσο, υ</w:t>
      </w:r>
      <w:r w:rsidR="0014175E">
        <w:rPr>
          <w:rFonts w:eastAsia="Times New Roman" w:cstheme="minorHAnsi"/>
          <w:lang w:eastAsia="el-GR"/>
        </w:rPr>
        <w:t xml:space="preserve">πήρξαν και σημαντικές ανησυχίες. </w:t>
      </w:r>
      <w:r w:rsidRPr="00330DB3">
        <w:rPr>
          <w:rFonts w:eastAsia="Times New Roman" w:cstheme="minorHAnsi"/>
          <w:lang w:eastAsia="el-GR"/>
        </w:rPr>
        <w:t xml:space="preserve">Για την πιθανή </w:t>
      </w:r>
      <w:proofErr w:type="spellStart"/>
      <w:r w:rsidRPr="00330DB3">
        <w:rPr>
          <w:rFonts w:eastAsia="Times New Roman" w:cstheme="minorHAnsi"/>
          <w:lang w:eastAsia="el-GR"/>
        </w:rPr>
        <w:t>απανθρωποποίηση</w:t>
      </w:r>
      <w:proofErr w:type="spellEnd"/>
      <w:r w:rsidRPr="00330DB3">
        <w:rPr>
          <w:rFonts w:eastAsia="Times New Roman" w:cstheme="minorHAnsi"/>
          <w:lang w:eastAsia="el-GR"/>
        </w:rPr>
        <w:t xml:space="preserve"> της μαθησιακής διαδικασίας (Μ=3.7, Τ.Α.=0.8), με το 48% να συμφωνεί ή να συμφωνεί απόλυτα με αυτή την ανησυχία.</w:t>
      </w:r>
      <w:r w:rsidR="0014175E">
        <w:rPr>
          <w:rFonts w:eastAsia="Times New Roman" w:cstheme="minorHAnsi"/>
          <w:lang w:eastAsia="el-GR"/>
        </w:rPr>
        <w:t xml:space="preserve"> </w:t>
      </w:r>
      <w:r w:rsidRPr="00330DB3">
        <w:rPr>
          <w:rFonts w:eastAsia="Times New Roman" w:cstheme="minorHAnsi"/>
          <w:lang w:eastAsia="el-GR"/>
        </w:rPr>
        <w:t>Τον κίνδυνο υπερβολικής εξάρτησης από την τεχνολογία (Μ=3.5, Τ.Α.=0.9).</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Συσχετίσεις με Δημογραφικά Χαρακτηριστικά (ΕΕ2)</w:t>
      </w:r>
      <w:r w:rsidR="0014175E" w:rsidRPr="0014175E">
        <w:rPr>
          <w:rFonts w:eastAsia="Times New Roman" w:cstheme="minorHAnsi"/>
          <w:bCs/>
          <w:lang w:eastAsia="el-GR"/>
        </w:rPr>
        <w:t xml:space="preserve">: </w:t>
      </w:r>
      <w:r w:rsidRPr="00330DB3">
        <w:rPr>
          <w:rFonts w:eastAsia="Times New Roman" w:cstheme="minorHAnsi"/>
          <w:lang w:eastAsia="el-GR"/>
        </w:rPr>
        <w:t>Πραγματοποιήθηκαν t</w:t>
      </w:r>
      <w:r w:rsidR="002D1D2A">
        <w:rPr>
          <w:rFonts w:eastAsia="Times New Roman" w:cstheme="minorHAnsi"/>
          <w:lang w:eastAsia="el-GR"/>
        </w:rPr>
        <w:t xml:space="preserve"> – </w:t>
      </w:r>
      <w:proofErr w:type="spellStart"/>
      <w:r w:rsidRPr="00330DB3">
        <w:rPr>
          <w:rFonts w:eastAsia="Times New Roman" w:cstheme="minorHAnsi"/>
          <w:lang w:eastAsia="el-GR"/>
        </w:rPr>
        <w:t>tests</w:t>
      </w:r>
      <w:proofErr w:type="spellEnd"/>
      <w:r w:rsidR="002D1D2A">
        <w:rPr>
          <w:rFonts w:eastAsia="Times New Roman" w:cstheme="minorHAnsi"/>
          <w:lang w:eastAsia="el-GR"/>
        </w:rPr>
        <w:t xml:space="preserve"> </w:t>
      </w:r>
      <w:r w:rsidRPr="00330DB3">
        <w:rPr>
          <w:rFonts w:eastAsia="Times New Roman" w:cstheme="minorHAnsi"/>
          <w:lang w:eastAsia="el-GR"/>
        </w:rPr>
        <w:t xml:space="preserve"> και ANOVA για την εξέταση διαφορών βάσει δημογραφικών χαρακτηριστικών. Διαπιστώθηκε ότι οι νεότεροι σε ηλικία εκπαιδευτικοί (κάτω των 35 ετών, Μ=3.6, Τ.Α.=0.7) και αυτοί με λιγότερα χρόνια εμπειρίας (0-5 έτη, Μ=3.5, Τ.Α.=0.75) δήλωσαν στατιστικά σημαντικά υψηλότερη αυτοπεποίθηση στην ΤΝ (F(2, 497)=5.21, p&lt;</w:t>
      </w:r>
      <w:r w:rsidR="002D1D2A">
        <w:rPr>
          <w:rFonts w:eastAsia="Times New Roman" w:cstheme="minorHAnsi"/>
          <w:lang w:eastAsia="el-GR"/>
        </w:rPr>
        <w:t>0</w:t>
      </w:r>
      <w:r w:rsidRPr="00330DB3">
        <w:rPr>
          <w:rFonts w:eastAsia="Times New Roman" w:cstheme="minorHAnsi"/>
          <w:lang w:eastAsia="el-GR"/>
        </w:rPr>
        <w:t>.01) σε σύγκριση με τους πιο έμπειρους συναδέλφους τους (Μ=2.8, Τ.Α.=0.8). Οι post</w:t>
      </w:r>
      <w:r w:rsidR="002D1D2A">
        <w:rPr>
          <w:rFonts w:eastAsia="Times New Roman" w:cstheme="minorHAnsi"/>
          <w:lang w:eastAsia="el-GR"/>
        </w:rPr>
        <w:t xml:space="preserve"> – </w:t>
      </w:r>
      <w:r w:rsidRPr="00330DB3">
        <w:rPr>
          <w:rFonts w:eastAsia="Times New Roman" w:cstheme="minorHAnsi"/>
          <w:lang w:eastAsia="el-GR"/>
        </w:rPr>
        <w:t>hoc</w:t>
      </w:r>
      <w:r w:rsidR="002D1D2A">
        <w:rPr>
          <w:rFonts w:eastAsia="Times New Roman" w:cstheme="minorHAnsi"/>
          <w:lang w:eastAsia="el-GR"/>
        </w:rPr>
        <w:t xml:space="preserve"> </w:t>
      </w:r>
      <w:r w:rsidRPr="00330DB3">
        <w:rPr>
          <w:rFonts w:eastAsia="Times New Roman" w:cstheme="minorHAnsi"/>
          <w:lang w:eastAsia="el-GR"/>
        </w:rPr>
        <w:t>δοκιμές (</w:t>
      </w:r>
      <w:proofErr w:type="spellStart"/>
      <w:r w:rsidRPr="00330DB3">
        <w:rPr>
          <w:rFonts w:eastAsia="Times New Roman" w:cstheme="minorHAnsi"/>
          <w:lang w:eastAsia="el-GR"/>
        </w:rPr>
        <w:t>Bonferroni</w:t>
      </w:r>
      <w:proofErr w:type="spellEnd"/>
      <w:r w:rsidRPr="00330DB3">
        <w:rPr>
          <w:rFonts w:eastAsia="Times New Roman" w:cstheme="minorHAnsi"/>
          <w:lang w:eastAsia="el-GR"/>
        </w:rPr>
        <w:t>) επιβεβαίωσαν ότι οι διαφορές ήταν σημαντικές μεταξύ της ομάδας 0</w:t>
      </w:r>
      <w:r w:rsidR="002D1D2A">
        <w:rPr>
          <w:rFonts w:eastAsia="Times New Roman" w:cstheme="minorHAnsi"/>
          <w:lang w:eastAsia="el-GR"/>
        </w:rPr>
        <w:t xml:space="preserve"> – </w:t>
      </w:r>
      <w:r w:rsidRPr="00330DB3">
        <w:rPr>
          <w:rFonts w:eastAsia="Times New Roman" w:cstheme="minorHAnsi"/>
          <w:lang w:eastAsia="el-GR"/>
        </w:rPr>
        <w:t>5</w:t>
      </w:r>
      <w:r w:rsidR="002D1D2A">
        <w:rPr>
          <w:rFonts w:eastAsia="Times New Roman" w:cstheme="minorHAnsi"/>
          <w:lang w:eastAsia="el-GR"/>
        </w:rPr>
        <w:t xml:space="preserve"> </w:t>
      </w:r>
      <w:r w:rsidRPr="00330DB3">
        <w:rPr>
          <w:rFonts w:eastAsia="Times New Roman" w:cstheme="minorHAnsi"/>
          <w:lang w:eastAsia="el-GR"/>
        </w:rPr>
        <w:t>ετών και της ομάδας 15+ ετών.</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 xml:space="preserve">Η ανάλυση συσχέτισης </w:t>
      </w:r>
      <w:proofErr w:type="spellStart"/>
      <w:r w:rsidRPr="00330DB3">
        <w:rPr>
          <w:rFonts w:eastAsia="Times New Roman" w:cstheme="minorHAnsi"/>
          <w:lang w:eastAsia="el-GR"/>
        </w:rPr>
        <w:t>Pearson</w:t>
      </w:r>
      <w:proofErr w:type="spellEnd"/>
      <w:r w:rsidRPr="00330DB3">
        <w:rPr>
          <w:rFonts w:eastAsia="Times New Roman" w:cstheme="minorHAnsi"/>
          <w:lang w:eastAsia="el-GR"/>
        </w:rPr>
        <w:t xml:space="preserve"> έδειξε μια ασθενώς θετική συσχέτιση μεταξύ των ετών εμπειρίας και των αντιλαμβανόμενων προκλήσεων (r = 0.25, p &lt; </w:t>
      </w:r>
      <w:r w:rsidR="002D1D2A">
        <w:rPr>
          <w:rFonts w:eastAsia="Times New Roman" w:cstheme="minorHAnsi"/>
          <w:lang w:eastAsia="el-GR"/>
        </w:rPr>
        <w:t>0</w:t>
      </w:r>
      <w:r w:rsidRPr="00330DB3">
        <w:rPr>
          <w:rFonts w:eastAsia="Times New Roman" w:cstheme="minorHAnsi"/>
          <w:lang w:eastAsia="el-GR"/>
        </w:rPr>
        <w:t xml:space="preserve">.01), υποδηλώνοντας ότι οι πιο έμπειροι εκπαιδευτικοί τείνουν να αναφέρουν περισσότερα εμπόδια στην ενσωμάτωση της ΤΝ. Αντίθετα, υπήρξε μια ασθενώς αρνητική συσχέτιση μεταξύ της ηλικίας και της ετοιμότητας στην ΤΝ (r = -0.30, p &lt; </w:t>
      </w:r>
      <w:r w:rsidR="002D1D2A">
        <w:rPr>
          <w:rFonts w:eastAsia="Times New Roman" w:cstheme="minorHAnsi"/>
          <w:lang w:eastAsia="el-GR"/>
        </w:rPr>
        <w:t>0</w:t>
      </w:r>
      <w:r w:rsidRPr="00330DB3">
        <w:rPr>
          <w:rFonts w:eastAsia="Times New Roman" w:cstheme="minorHAnsi"/>
          <w:lang w:eastAsia="el-GR"/>
        </w:rPr>
        <w:t>.001), γεγονός που υποδηλώνει ότι η μεγαλύτερη ηλικία συνδέεται με χαμηλότερη αντιλαμβανόμενη ετοιμότητα. Δεν βρέθηκαν στατιστικά σημαντικές διαφορές στις στάσεις απέναντι στην ΤΝ ως προς το φύλο των</w:t>
      </w:r>
      <w:r w:rsidR="002D1D2A">
        <w:rPr>
          <w:rFonts w:eastAsia="Times New Roman" w:cstheme="minorHAnsi"/>
          <w:lang w:eastAsia="el-GR"/>
        </w:rPr>
        <w:t xml:space="preserve"> εκπαιδευτικών (t(498)=0.85, p&gt;</w:t>
      </w:r>
      <w:r w:rsidRPr="00330DB3">
        <w:rPr>
          <w:rFonts w:eastAsia="Times New Roman" w:cstheme="minorHAnsi"/>
          <w:lang w:eastAsia="el-GR"/>
        </w:rPr>
        <w:t>0</w:t>
      </w:r>
      <w:r w:rsidR="002D1D2A">
        <w:rPr>
          <w:rFonts w:eastAsia="Times New Roman" w:cstheme="minorHAnsi"/>
          <w:lang w:eastAsia="el-GR"/>
        </w:rPr>
        <w:t>.</w:t>
      </w:r>
      <w:r w:rsidRPr="00330DB3">
        <w:rPr>
          <w:rFonts w:eastAsia="Times New Roman" w:cstheme="minorHAnsi"/>
          <w:lang w:eastAsia="el-GR"/>
        </w:rPr>
        <w:t>5).</w:t>
      </w:r>
    </w:p>
    <w:p w:rsidR="00330DB3" w:rsidRDefault="00330DB3" w:rsidP="002D1D2A">
      <w:pPr>
        <w:spacing w:after="0" w:line="240" w:lineRule="auto"/>
        <w:ind w:firstLine="284"/>
        <w:jc w:val="both"/>
        <w:rPr>
          <w:rFonts w:eastAsia="Times New Roman" w:cstheme="minorHAnsi"/>
          <w:lang w:eastAsia="el-GR"/>
        </w:rPr>
      </w:pPr>
      <w:r w:rsidRPr="00330DB3">
        <w:rPr>
          <w:rFonts w:eastAsia="Times New Roman" w:cstheme="minorHAnsi"/>
          <w:lang w:eastAsia="el-GR"/>
        </w:rPr>
        <w:t>Η πολλαπλή παλινδρομική ανάλυση έδειξε ότι η α</w:t>
      </w:r>
      <w:r w:rsidR="002D1D2A">
        <w:rPr>
          <w:rFonts w:eastAsia="Times New Roman" w:cstheme="minorHAnsi"/>
          <w:lang w:eastAsia="el-GR"/>
        </w:rPr>
        <w:t xml:space="preserve">ντιλαμβανόμενη ετοιμότητα (β = </w:t>
      </w:r>
      <w:r w:rsidRPr="00330DB3">
        <w:rPr>
          <w:rFonts w:eastAsia="Times New Roman" w:cstheme="minorHAnsi"/>
          <w:lang w:eastAsia="el-GR"/>
        </w:rPr>
        <w:t>45, p&lt;</w:t>
      </w:r>
      <w:r w:rsidR="002D1D2A">
        <w:rPr>
          <w:rFonts w:eastAsia="Times New Roman" w:cstheme="minorHAnsi"/>
          <w:lang w:eastAsia="el-GR"/>
        </w:rPr>
        <w:t>0</w:t>
      </w:r>
      <w:r w:rsidRPr="00330DB3">
        <w:rPr>
          <w:rFonts w:eastAsia="Times New Roman" w:cstheme="minorHAnsi"/>
          <w:lang w:eastAsia="el-GR"/>
        </w:rPr>
        <w:t>.001) και η θετική στάση προς τ</w:t>
      </w:r>
      <w:r w:rsidR="002D1D2A">
        <w:rPr>
          <w:rFonts w:eastAsia="Times New Roman" w:cstheme="minorHAnsi"/>
          <w:lang w:eastAsia="el-GR"/>
        </w:rPr>
        <w:t>ην ΤΝ (β = 32, p&lt;0.</w:t>
      </w:r>
      <w:r w:rsidRPr="00330DB3">
        <w:rPr>
          <w:rFonts w:eastAsia="Times New Roman" w:cstheme="minorHAnsi"/>
          <w:lang w:eastAsia="el-GR"/>
        </w:rPr>
        <w:t>01) ήταν οι ισχυρότεροι προγνωστικοί παράγοντες της προθυμίας για ενσωμάτωση της ΤΝ στη διδασκαλία. Το συνολικό μοντέλο ήταν στατιστικ</w:t>
      </w:r>
      <w:r w:rsidR="002D1D2A">
        <w:rPr>
          <w:rFonts w:eastAsia="Times New Roman" w:cstheme="minorHAnsi"/>
          <w:lang w:eastAsia="el-GR"/>
        </w:rPr>
        <w:t>ά σημαντικό (F(3, 496) = 82.5, p&lt;</w:t>
      </w:r>
      <w:r w:rsidRPr="00330DB3">
        <w:rPr>
          <w:rFonts w:eastAsia="Times New Roman" w:cstheme="minorHAnsi"/>
          <w:lang w:eastAsia="el-GR"/>
        </w:rPr>
        <w:t>0</w:t>
      </w:r>
      <w:r w:rsidR="002D1D2A">
        <w:rPr>
          <w:rFonts w:eastAsia="Times New Roman" w:cstheme="minorHAnsi"/>
          <w:lang w:eastAsia="el-GR"/>
        </w:rPr>
        <w:t>.</w:t>
      </w:r>
      <w:r w:rsidRPr="00330DB3">
        <w:rPr>
          <w:rFonts w:eastAsia="Times New Roman" w:cstheme="minorHAnsi"/>
          <w:lang w:eastAsia="el-GR"/>
        </w:rPr>
        <w:t>01) και εξηγεί το 48% της διακύμανσης στην προθυμία ενσωμάτωσης (</w:t>
      </w:r>
      <w:proofErr w:type="spellStart"/>
      <w:r w:rsidRPr="00330DB3">
        <w:rPr>
          <w:rFonts w:eastAsia="Times New Roman" w:cstheme="minorHAnsi"/>
          <w:lang w:eastAsia="el-GR"/>
        </w:rPr>
        <w:t>Adjus</w:t>
      </w:r>
      <w:r w:rsidR="002D1D2A">
        <w:rPr>
          <w:rFonts w:eastAsia="Times New Roman" w:cstheme="minorHAnsi"/>
          <w:lang w:eastAsia="el-GR"/>
        </w:rPr>
        <w:t>ted</w:t>
      </w:r>
      <w:proofErr w:type="spellEnd"/>
      <w:r w:rsidR="002D1D2A">
        <w:rPr>
          <w:rFonts w:eastAsia="Times New Roman" w:cstheme="minorHAnsi"/>
          <w:lang w:eastAsia="el-GR"/>
        </w:rPr>
        <w:t xml:space="preserve"> R2 = </w:t>
      </w:r>
      <w:r w:rsidRPr="00330DB3">
        <w:rPr>
          <w:rFonts w:eastAsia="Times New Roman" w:cstheme="minorHAnsi"/>
          <w:lang w:eastAsia="el-GR"/>
        </w:rPr>
        <w:t>48).</w:t>
      </w:r>
    </w:p>
    <w:p w:rsidR="00330DB3" w:rsidRPr="00D170D7" w:rsidRDefault="00330DB3" w:rsidP="00D170D7">
      <w:pPr>
        <w:suppressAutoHyphens/>
        <w:spacing w:before="240" w:after="0" w:line="240" w:lineRule="auto"/>
        <w:ind w:firstLine="284"/>
        <w:rPr>
          <w:rFonts w:ascii="Calibri" w:eastAsia="Times New Roman" w:hAnsi="Calibri" w:cs="Calibri"/>
          <w:b/>
          <w:lang w:eastAsia="zh-CN"/>
        </w:rPr>
      </w:pPr>
      <w:r w:rsidRPr="00D170D7">
        <w:rPr>
          <w:rFonts w:ascii="Calibri" w:eastAsia="Times New Roman" w:hAnsi="Calibri" w:cs="Calibri"/>
          <w:b/>
          <w:lang w:eastAsia="zh-CN"/>
        </w:rPr>
        <w:t>Συζήτηση</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lastRenderedPageBreak/>
        <w:t xml:space="preserve">Τα ευρήματα αυτής της μελέτης παρέχουν σημαντικές ποσοτικές γνώσεις σχετικά με τις αντιλήψεις των εκπαιδευτικών πρωτοβάθμιας εκπαίδευσης αναφορικά με την ετοιμότητα, τις αντιλαμβανόμενες προκλήσεις και τις στάσεις τους απέναντι στην ενσωμάτωση της ΤΝ. Η μέτρια </w:t>
      </w:r>
      <w:proofErr w:type="spellStart"/>
      <w:r w:rsidRPr="00330DB3">
        <w:rPr>
          <w:rFonts w:eastAsia="Times New Roman" w:cstheme="minorHAnsi"/>
          <w:lang w:eastAsia="el-GR"/>
        </w:rPr>
        <w:t>αυτοαντιλαμβανόμενη</w:t>
      </w:r>
      <w:proofErr w:type="spellEnd"/>
      <w:r w:rsidRPr="00330DB3">
        <w:rPr>
          <w:rFonts w:eastAsia="Times New Roman" w:cstheme="minorHAnsi"/>
          <w:lang w:eastAsia="el-GR"/>
        </w:rPr>
        <w:t xml:space="preserve"> ετοιμότητα, η οποία επιβεβαιώνεται από το χαμηλό ποσοστό εκπαιδευτικών με υψηλή αυτοπεποίθηση (25%, βλ. Πίνακα 1), σε συνδυασμό με την υψηλή προθυμία για υιοθέτηση (70%), υποδεικνύει μια κρίσιμη φάση στην υιοθέτηση και διάχυση της ΤΝ στην εκπαίδευση.</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Αυτό το μοτίβο μπορεί να ερμηνευθεί μέσω του πρίσματος της Θεωρίας Διάχυσης των Καινοτομιών (</w:t>
      </w:r>
      <w:proofErr w:type="spellStart"/>
      <w:r w:rsidRPr="00330DB3">
        <w:rPr>
          <w:rFonts w:eastAsia="Times New Roman" w:cstheme="minorHAnsi"/>
          <w:lang w:eastAsia="el-GR"/>
        </w:rPr>
        <w:t>Diffusion</w:t>
      </w:r>
      <w:proofErr w:type="spellEnd"/>
      <w:r w:rsidRPr="00330DB3">
        <w:rPr>
          <w:rFonts w:eastAsia="Times New Roman" w:cstheme="minorHAnsi"/>
          <w:lang w:eastAsia="el-GR"/>
        </w:rPr>
        <w:t xml:space="preserve"> of </w:t>
      </w:r>
      <w:proofErr w:type="spellStart"/>
      <w:r w:rsidRPr="00330DB3">
        <w:rPr>
          <w:rFonts w:eastAsia="Times New Roman" w:cstheme="minorHAnsi"/>
          <w:lang w:eastAsia="el-GR"/>
        </w:rPr>
        <w:t>Innovations</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Theory</w:t>
      </w:r>
      <w:proofErr w:type="spellEnd"/>
      <w:r w:rsidRPr="00330DB3">
        <w:rPr>
          <w:rFonts w:eastAsia="Times New Roman" w:cstheme="minorHAnsi"/>
          <w:lang w:eastAsia="el-GR"/>
        </w:rPr>
        <w:t xml:space="preserve">) του </w:t>
      </w:r>
      <w:proofErr w:type="spellStart"/>
      <w:r w:rsidRPr="00330DB3">
        <w:rPr>
          <w:rFonts w:eastAsia="Times New Roman" w:cstheme="minorHAnsi"/>
          <w:lang w:eastAsia="el-GR"/>
        </w:rPr>
        <w:t>Rogers</w:t>
      </w:r>
      <w:proofErr w:type="spellEnd"/>
      <w:r w:rsidRPr="00330DB3">
        <w:rPr>
          <w:rFonts w:eastAsia="Times New Roman" w:cstheme="minorHAnsi"/>
          <w:lang w:eastAsia="el-GR"/>
        </w:rPr>
        <w:t xml:space="preserve"> (2003). Η ομάδα των εκπαιδευτικών με υψηλή ετοιμότητα πιθανώς αντιπροσωπεύει τους «πρωτοπόρους» και τους «πρώιμους </w:t>
      </w:r>
      <w:proofErr w:type="spellStart"/>
      <w:r w:rsidRPr="00330DB3">
        <w:rPr>
          <w:rFonts w:eastAsia="Times New Roman" w:cstheme="minorHAnsi"/>
          <w:lang w:eastAsia="el-GR"/>
        </w:rPr>
        <w:t>υιοθετητές</w:t>
      </w:r>
      <w:proofErr w:type="spellEnd"/>
      <w:r w:rsidRPr="00330DB3">
        <w:rPr>
          <w:rFonts w:eastAsia="Times New Roman" w:cstheme="minorHAnsi"/>
          <w:lang w:eastAsia="el-GR"/>
        </w:rPr>
        <w:t>», οι οποίοι είναι πρόθυμοι να αναλάβουν ρίσκα και να πειραματιστούν. Ωστόσο, η μεγάλη πλειονότητα των εκπαιδευτικών βρίσκεται στο στάδιο των «πρώιμων» και «όψιμων πλειοψηφιών», οι οποίοι απαιτούν ισχυρή υποστήριξη, πειστικά επιχειρήματα για τη σχετική τους ωφέλεια και μείωση της πολυπλοκότητας για να υιοθετήσουν την καινοτομία. Η υψηλή προθυμία υποδηλώνει ότι το «χάσμα» διάχυσης (</w:t>
      </w:r>
      <w:proofErr w:type="spellStart"/>
      <w:r w:rsidRPr="00330DB3">
        <w:rPr>
          <w:rFonts w:eastAsia="Times New Roman" w:cstheme="minorHAnsi"/>
          <w:lang w:eastAsia="el-GR"/>
        </w:rPr>
        <w:t>Geoffrey</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Moore</w:t>
      </w:r>
      <w:proofErr w:type="spellEnd"/>
      <w:r w:rsidRPr="00330DB3">
        <w:rPr>
          <w:rFonts w:eastAsia="Times New Roman" w:cstheme="minorHAnsi"/>
          <w:lang w:eastAsia="el-GR"/>
        </w:rPr>
        <w:t xml:space="preserve">, 1991) μεταξύ των πρώιμων </w:t>
      </w:r>
      <w:proofErr w:type="spellStart"/>
      <w:r w:rsidRPr="00330DB3">
        <w:rPr>
          <w:rFonts w:eastAsia="Times New Roman" w:cstheme="minorHAnsi"/>
          <w:lang w:eastAsia="el-GR"/>
        </w:rPr>
        <w:t>υιοθετητών</w:t>
      </w:r>
      <w:proofErr w:type="spellEnd"/>
      <w:r w:rsidRPr="00330DB3">
        <w:rPr>
          <w:rFonts w:eastAsia="Times New Roman" w:cstheme="minorHAnsi"/>
          <w:lang w:eastAsia="el-GR"/>
        </w:rPr>
        <w:t xml:space="preserve"> και της ευρύτερης πλειοψηφίας είναι </w:t>
      </w:r>
      <w:proofErr w:type="spellStart"/>
      <w:r w:rsidRPr="00330DB3">
        <w:rPr>
          <w:rFonts w:eastAsia="Times New Roman" w:cstheme="minorHAnsi"/>
          <w:lang w:eastAsia="el-GR"/>
        </w:rPr>
        <w:t>γεφυρώσιμο</w:t>
      </w:r>
      <w:proofErr w:type="spellEnd"/>
      <w:r w:rsidRPr="00330DB3">
        <w:rPr>
          <w:rFonts w:eastAsia="Times New Roman" w:cstheme="minorHAnsi"/>
          <w:lang w:eastAsia="el-GR"/>
        </w:rPr>
        <w:t>, εφόσον αντιμετωπιστούν οι αντιλαμβανόμενες προκλήσεις.</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Οι κυρίαρχες προκλήσεις που αναφέρθηκαν – ιδίως η έλλειψη επαρκούς επαγγελματικής ανάπτυξης (92%) και οι ελλείψεις υποδομών (85%) – αποτελούν σημαντικά συστημικά εμπόδια, όπως φαίνεται στον Πίνακα 2. Αυτά τα ευρήματα επιβεβαιώνουν την παγιωμένη βιβλιογραφία σχετικά με την ενσωμάτωση της εκπαιδευτικής τεχνολογίας, η οποία υπογραμμίζει τον κρίσιμο ρόλο της συνεχούς, βιωματικής και ενσωματωμένης επαγγελματικής ανάπτυξης (</w:t>
      </w:r>
      <w:proofErr w:type="spellStart"/>
      <w:r w:rsidRPr="00330DB3">
        <w:rPr>
          <w:rFonts w:eastAsia="Times New Roman" w:cstheme="minorHAnsi"/>
          <w:lang w:eastAsia="el-GR"/>
        </w:rPr>
        <w:t>Ert</w:t>
      </w:r>
      <w:r w:rsidR="002D1D2A">
        <w:rPr>
          <w:rFonts w:eastAsia="Times New Roman" w:cstheme="minorHAnsi"/>
          <w:lang w:eastAsia="el-GR"/>
        </w:rPr>
        <w:t>mer</w:t>
      </w:r>
      <w:proofErr w:type="spellEnd"/>
      <w:r w:rsidR="002D1D2A">
        <w:rPr>
          <w:rFonts w:eastAsia="Times New Roman" w:cstheme="minorHAnsi"/>
          <w:lang w:eastAsia="el-GR"/>
        </w:rPr>
        <w:t xml:space="preserve"> &amp; </w:t>
      </w:r>
      <w:proofErr w:type="spellStart"/>
      <w:r w:rsidR="002D1D2A">
        <w:rPr>
          <w:rFonts w:eastAsia="Times New Roman" w:cstheme="minorHAnsi"/>
          <w:lang w:eastAsia="el-GR"/>
        </w:rPr>
        <w:t>Ottenbreit-Leftwich</w:t>
      </w:r>
      <w:proofErr w:type="spellEnd"/>
      <w:r w:rsidR="002D1D2A">
        <w:rPr>
          <w:rFonts w:eastAsia="Times New Roman" w:cstheme="minorHAnsi"/>
          <w:lang w:eastAsia="el-GR"/>
        </w:rPr>
        <w:t>, 2010,</w:t>
      </w:r>
      <w:r w:rsidRPr="00330DB3">
        <w:rPr>
          <w:rFonts w:eastAsia="Times New Roman" w:cstheme="minorHAnsi"/>
          <w:lang w:eastAsia="el-GR"/>
        </w:rPr>
        <w:t xml:space="preserve"> </w:t>
      </w:r>
      <w:proofErr w:type="spellStart"/>
      <w:r w:rsidRPr="00330DB3">
        <w:rPr>
          <w:rFonts w:eastAsia="Times New Roman" w:cstheme="minorHAnsi"/>
          <w:lang w:eastAsia="el-GR"/>
        </w:rPr>
        <w:t>Fullan</w:t>
      </w:r>
      <w:proofErr w:type="spellEnd"/>
      <w:r w:rsidRPr="00330DB3">
        <w:rPr>
          <w:rFonts w:eastAsia="Times New Roman" w:cstheme="minorHAnsi"/>
          <w:lang w:eastAsia="el-GR"/>
        </w:rPr>
        <w:t>, 2016). Η ανάγκη υπερβαίνει την απλή κατάρτιση σε τεχνικές δεξιότητες. Απαιτεί την ανάπτυξη Τεχνολογικής Παιδαγωγικής Γνώσης Περιεχομένου (TPACK) ειδικά για την ΤΝ (AI-TPACK) (</w:t>
      </w:r>
      <w:proofErr w:type="spellStart"/>
      <w:r w:rsidRPr="00330DB3">
        <w:rPr>
          <w:rFonts w:eastAsia="Times New Roman" w:cstheme="minorHAnsi"/>
          <w:lang w:eastAsia="el-GR"/>
        </w:rPr>
        <w:t>Koehler</w:t>
      </w:r>
      <w:proofErr w:type="spellEnd"/>
      <w:r w:rsidRPr="00330DB3">
        <w:rPr>
          <w:rFonts w:eastAsia="Times New Roman" w:cstheme="minorHAnsi"/>
          <w:lang w:eastAsia="el-GR"/>
        </w:rPr>
        <w:t xml:space="preserve"> &amp; </w:t>
      </w:r>
      <w:proofErr w:type="spellStart"/>
      <w:r w:rsidRPr="00330DB3">
        <w:rPr>
          <w:rFonts w:eastAsia="Times New Roman" w:cstheme="minorHAnsi"/>
          <w:lang w:eastAsia="el-GR"/>
        </w:rPr>
        <w:t>Mishra</w:t>
      </w:r>
      <w:proofErr w:type="spellEnd"/>
      <w:r w:rsidRPr="00330DB3">
        <w:rPr>
          <w:rFonts w:eastAsia="Times New Roman" w:cstheme="minorHAnsi"/>
          <w:lang w:eastAsia="el-GR"/>
        </w:rPr>
        <w:t>, 2009), επιτρέποντας στους εκπαιδευτικούς να κατανοήσουν πώς η ΤΝ μπορεί να ενισχύσει τους παιδαγωγικούς τους στόχους σε συγκεκριμένα γνωστικά αντικείμενα, διατηρώντας ταυτόχρονα την ακεραιότητα του περιεχομένου.</w:t>
      </w:r>
    </w:p>
    <w:p w:rsidR="006966BC"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Η έλλειψη υποδομών, από την άλλη, αναδεικνύει το ψηφιακό χάσμα (</w:t>
      </w:r>
      <w:proofErr w:type="spellStart"/>
      <w:r w:rsidRPr="00330DB3">
        <w:rPr>
          <w:rFonts w:eastAsia="Times New Roman" w:cstheme="minorHAnsi"/>
          <w:lang w:eastAsia="el-GR"/>
        </w:rPr>
        <w:t>digital</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divide</w:t>
      </w:r>
      <w:proofErr w:type="spellEnd"/>
      <w:r w:rsidRPr="00330DB3">
        <w:rPr>
          <w:rFonts w:eastAsia="Times New Roman" w:cstheme="minorHAnsi"/>
          <w:lang w:eastAsia="el-GR"/>
        </w:rPr>
        <w:t xml:space="preserve">) σε επίπεδο σχολικής μονάδας, το οποίο πρέπει να αντιμετωπιστεί μέσω εθνικών στρατηγικών και πολιτικών για την ισότιμη πρόσβαση σε τεχνολογικά εργαλεία. Οι ανησυχίες για την </w:t>
      </w:r>
      <w:proofErr w:type="spellStart"/>
      <w:r w:rsidRPr="00330DB3">
        <w:rPr>
          <w:rFonts w:eastAsia="Times New Roman" w:cstheme="minorHAnsi"/>
          <w:lang w:eastAsia="el-GR"/>
        </w:rPr>
        <w:t>ιδιωτικότητα</w:t>
      </w:r>
      <w:proofErr w:type="spellEnd"/>
      <w:r w:rsidRPr="00330DB3">
        <w:rPr>
          <w:rFonts w:eastAsia="Times New Roman" w:cstheme="minorHAnsi"/>
          <w:lang w:eastAsia="el-GR"/>
        </w:rPr>
        <w:t xml:space="preserve"> των δεδομένων και τις ηθικές προεκτάσεις (80%) είναι ιδιαίτερα κρίσιμες στην πρωτοβάθμια εκπαίδευση, όπου η ευαισθησία των δεδομένων των μικρών παιδιών είναι υψίστης σημασίας. Αυτή η ανησυχία αντικατοπτρίζει ευρύτερες συζητήσεις στην κοινωνία για την ηθική της ΤΝ (AI </w:t>
      </w:r>
      <w:proofErr w:type="spellStart"/>
      <w:r w:rsidRPr="00330DB3">
        <w:rPr>
          <w:rFonts w:eastAsia="Times New Roman" w:cstheme="minorHAnsi"/>
          <w:lang w:eastAsia="el-GR"/>
        </w:rPr>
        <w:t>ethics</w:t>
      </w:r>
      <w:proofErr w:type="spellEnd"/>
      <w:r w:rsidRPr="00330DB3">
        <w:rPr>
          <w:rFonts w:eastAsia="Times New Roman" w:cstheme="minorHAnsi"/>
          <w:lang w:eastAsia="el-GR"/>
        </w:rPr>
        <w:t>) και την αλγοριθμική προκατάληψη (</w:t>
      </w:r>
      <w:proofErr w:type="spellStart"/>
      <w:r w:rsidRPr="00330DB3">
        <w:rPr>
          <w:rFonts w:eastAsia="Times New Roman" w:cstheme="minorHAnsi"/>
          <w:lang w:eastAsia="el-GR"/>
        </w:rPr>
        <w:t>algorithmic</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bias</w:t>
      </w:r>
      <w:proofErr w:type="spellEnd"/>
      <w:r w:rsidRPr="00330DB3">
        <w:rPr>
          <w:rFonts w:eastAsia="Times New Roman" w:cstheme="minorHAnsi"/>
          <w:lang w:eastAsia="el-GR"/>
        </w:rPr>
        <w:t>) (</w:t>
      </w:r>
      <w:proofErr w:type="spellStart"/>
      <w:r w:rsidRPr="00330DB3">
        <w:rPr>
          <w:rFonts w:eastAsia="Times New Roman" w:cstheme="minorHAnsi"/>
          <w:lang w:eastAsia="el-GR"/>
        </w:rPr>
        <w:t>Crawford</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2</w:t>
      </w:r>
      <w:r w:rsidR="002D1D2A">
        <w:rPr>
          <w:rFonts w:eastAsia="Times New Roman" w:cstheme="minorHAnsi"/>
          <w:lang w:eastAsia="el-GR"/>
        </w:rPr>
        <w:t xml:space="preserve">019 – </w:t>
      </w:r>
      <w:proofErr w:type="spellStart"/>
      <w:r w:rsidRPr="00330DB3">
        <w:rPr>
          <w:rFonts w:eastAsia="Times New Roman" w:cstheme="minorHAnsi"/>
          <w:lang w:eastAsia="el-GR"/>
        </w:rPr>
        <w:t>Holmes</w:t>
      </w:r>
      <w:proofErr w:type="spellEnd"/>
      <w:r w:rsidR="002D1D2A">
        <w:rPr>
          <w:rFonts w:eastAsia="Times New Roman" w:cstheme="minorHAnsi"/>
          <w:lang w:eastAsia="el-GR"/>
        </w:rPr>
        <w:t xml:space="preserve"> </w:t>
      </w:r>
      <w:proofErr w:type="spellStart"/>
      <w:r w:rsidRPr="00330DB3">
        <w:rPr>
          <w:rFonts w:eastAsia="Times New Roman" w:cstheme="minorHAnsi"/>
          <w:lang w:eastAsia="el-GR"/>
        </w:rPr>
        <w:t>et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al</w:t>
      </w:r>
      <w:proofErr w:type="spellEnd"/>
      <w:r w:rsidRPr="00330DB3">
        <w:rPr>
          <w:rFonts w:eastAsia="Times New Roman" w:cstheme="minorHAnsi"/>
          <w:lang w:eastAsia="el-GR"/>
        </w:rPr>
        <w:t>., 2021).</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bCs/>
          <w:lang w:eastAsia="el-GR"/>
        </w:rPr>
        <w:t>Προεκτάσεις για τ</w:t>
      </w:r>
      <w:r w:rsidR="00C77B9C" w:rsidRPr="000117E9">
        <w:rPr>
          <w:rFonts w:eastAsia="Times New Roman" w:cstheme="minorHAnsi"/>
          <w:bCs/>
          <w:lang w:eastAsia="el-GR"/>
        </w:rPr>
        <w:t>ην Ε</w:t>
      </w:r>
      <w:r w:rsidR="00BF7184" w:rsidRPr="000117E9">
        <w:rPr>
          <w:rFonts w:eastAsia="Times New Roman" w:cstheme="minorHAnsi"/>
          <w:bCs/>
          <w:lang w:eastAsia="el-GR"/>
        </w:rPr>
        <w:t>παγγελματική Ανάπτυξη (ΕΕ3)</w:t>
      </w:r>
      <w:r w:rsidR="000117E9" w:rsidRPr="000117E9">
        <w:rPr>
          <w:rFonts w:eastAsia="Times New Roman" w:cstheme="minorHAnsi"/>
          <w:bCs/>
          <w:lang w:eastAsia="el-GR"/>
        </w:rPr>
        <w:t xml:space="preserve">: </w:t>
      </w:r>
      <w:r w:rsidRPr="00330DB3">
        <w:rPr>
          <w:rFonts w:eastAsia="Times New Roman" w:cstheme="minorHAnsi"/>
          <w:lang w:eastAsia="el-GR"/>
        </w:rPr>
        <w:t>Βάσει των ανωτέρω εμπειρικών ευρημάτων, ο σχεδιασμός και η υλοποίηση προγραμμάτων Επαγγελματικής Ανάπτυξης (ΕΑ) για το εκπαιδευτικό προσωπικό της πρωτοβάθμιας εκπαίδευσης, αναφορικά με την Τεχνητή Νοημοσύνη (ΤΝ), επιβάλλεται να διέπονται από τις ακόλουθες αρχές:</w:t>
      </w:r>
    </w:p>
    <w:p w:rsidR="00330DB3" w:rsidRPr="00334E5D" w:rsidRDefault="00330DB3" w:rsidP="00334E5D">
      <w:pPr>
        <w:pStyle w:val="a3"/>
        <w:numPr>
          <w:ilvl w:val="0"/>
          <w:numId w:val="9"/>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Ολιστική και Συνεχής Προσέγγιση:</w:t>
      </w:r>
      <w:r w:rsidRPr="00334E5D">
        <w:rPr>
          <w:rFonts w:eastAsia="Times New Roman" w:cstheme="minorHAnsi"/>
          <w:lang w:eastAsia="el-GR"/>
        </w:rPr>
        <w:t xml:space="preserve"> Τα προγράμματα ΕΑ οφείλουν να υπερβαίνουν την αποσπασματική παροχή βραχυπρόθεσμων σεμιναρίων. Αντιθέτως, θα πρέπει να ενταχθούν οργανικά σε ένα διαρκές πλαίσιο επαγγελματικής εξέλιξης, το οποίο θα περιλαμβάνει όχι μόνο την απόκτηση τεχνικής επάρκειας, αλλά και την καλλιέργεια της Τεχνολογικής Παιδαγωγικής Γνώσης Περιεχομένου αναφορικά με την ΤΝ (AI-TPACK). Επιπλέον, είναι επιτακτική η εμβάθυνση στην κατανόηση των ηθικών συνεπειών της ΤΝ και η ενίσχυση της κριτικής </w:t>
      </w:r>
      <w:proofErr w:type="spellStart"/>
      <w:r w:rsidRPr="00334E5D">
        <w:rPr>
          <w:rFonts w:eastAsia="Times New Roman" w:cstheme="minorHAnsi"/>
          <w:lang w:eastAsia="el-GR"/>
        </w:rPr>
        <w:t>αναστοχαστικής</w:t>
      </w:r>
      <w:proofErr w:type="spellEnd"/>
      <w:r w:rsidRPr="00334E5D">
        <w:rPr>
          <w:rFonts w:eastAsia="Times New Roman" w:cstheme="minorHAnsi"/>
          <w:lang w:eastAsia="el-GR"/>
        </w:rPr>
        <w:t xml:space="preserve"> ικανότητας των εκπαιδευτικών ως προς τον παιδαγωγικό της ρόλο.</w:t>
      </w:r>
    </w:p>
    <w:p w:rsidR="00330DB3" w:rsidRPr="00334E5D" w:rsidRDefault="00C77B9C" w:rsidP="00334E5D">
      <w:pPr>
        <w:pStyle w:val="a3"/>
        <w:numPr>
          <w:ilvl w:val="0"/>
          <w:numId w:val="9"/>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Παιδαγωγική θεμελίωση και πρακτική ε</w:t>
      </w:r>
      <w:r w:rsidR="00330DB3" w:rsidRPr="00334E5D">
        <w:rPr>
          <w:rFonts w:eastAsia="Times New Roman" w:cstheme="minorHAnsi"/>
          <w:bCs/>
          <w:lang w:eastAsia="el-GR"/>
        </w:rPr>
        <w:t>φαρμογή:</w:t>
      </w:r>
      <w:r w:rsidR="00330DB3" w:rsidRPr="00334E5D">
        <w:rPr>
          <w:rFonts w:eastAsia="Times New Roman" w:cstheme="minorHAnsi"/>
          <w:lang w:eastAsia="el-GR"/>
        </w:rPr>
        <w:t xml:space="preserve"> Η εστίαση της ΕΑ οφείλει να κατευθύνεται προς την παρουσίαση συγκεκριμένων εργαλείων και εφαρμογών ΤΝ, τα οποία συνάδουν άμεσα με τις ιδιαίτερες παιδαγωγικές ανάγκες της πρωτοβάθμιας </w:t>
      </w:r>
      <w:r w:rsidR="00330DB3" w:rsidRPr="00334E5D">
        <w:rPr>
          <w:rFonts w:eastAsia="Times New Roman" w:cstheme="minorHAnsi"/>
          <w:lang w:eastAsia="el-GR"/>
        </w:rPr>
        <w:lastRenderedPageBreak/>
        <w:t xml:space="preserve">εκπαίδευσης (ενδεικτικά, </w:t>
      </w:r>
      <w:proofErr w:type="spellStart"/>
      <w:r w:rsidR="00330DB3" w:rsidRPr="00334E5D">
        <w:rPr>
          <w:rFonts w:eastAsia="Times New Roman" w:cstheme="minorHAnsi"/>
          <w:lang w:eastAsia="el-GR"/>
        </w:rPr>
        <w:t>chatbots</w:t>
      </w:r>
      <w:proofErr w:type="spellEnd"/>
      <w:r w:rsidR="00330DB3" w:rsidRPr="00334E5D">
        <w:rPr>
          <w:rFonts w:eastAsia="Times New Roman" w:cstheme="minorHAnsi"/>
          <w:lang w:eastAsia="el-GR"/>
        </w:rPr>
        <w:t xml:space="preserve"> για την ενίσχυση της δημιουργικής γραφής, ή συστήματα προσαρμοστικής μάθησης για την εξατομίκευση των μαθησιακών διαδρομών). Η παρεχόμενη ΕΑ πρέπει να υιοθετεί βιωματικές μεθόδους μάθησης, όπως πρακτικά εργαστήρια, μελέτες περίπτωσης και την παροχή απτών παραδειγμάτων ενσωμάτωσης στο υφιστάμενο αναλυτικό πρόγραμμα, με στόχο την ενίσχυση της αυτοπεποίθησης και της </w:t>
      </w:r>
      <w:proofErr w:type="spellStart"/>
      <w:r w:rsidR="00330DB3" w:rsidRPr="00334E5D">
        <w:rPr>
          <w:rFonts w:eastAsia="Times New Roman" w:cstheme="minorHAnsi"/>
          <w:lang w:eastAsia="el-GR"/>
        </w:rPr>
        <w:t>αυτοαποτελεσματικότητας</w:t>
      </w:r>
      <w:proofErr w:type="spellEnd"/>
      <w:r w:rsidR="00330DB3" w:rsidRPr="00334E5D">
        <w:rPr>
          <w:rFonts w:eastAsia="Times New Roman" w:cstheme="minorHAnsi"/>
          <w:lang w:eastAsia="el-GR"/>
        </w:rPr>
        <w:t xml:space="preserve"> των εκπαιδευτικών.</w:t>
      </w:r>
    </w:p>
    <w:p w:rsidR="00330DB3" w:rsidRPr="00334E5D" w:rsidRDefault="00C77B9C" w:rsidP="00334E5D">
      <w:pPr>
        <w:pStyle w:val="a3"/>
        <w:numPr>
          <w:ilvl w:val="0"/>
          <w:numId w:val="9"/>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Αντιμετώπιση συστημικών π</w:t>
      </w:r>
      <w:r w:rsidR="00330DB3" w:rsidRPr="00334E5D">
        <w:rPr>
          <w:rFonts w:eastAsia="Times New Roman" w:cstheme="minorHAnsi"/>
          <w:bCs/>
          <w:lang w:eastAsia="el-GR"/>
        </w:rPr>
        <w:t>ροκλήσεων:</w:t>
      </w:r>
      <w:r w:rsidR="00330DB3" w:rsidRPr="00334E5D">
        <w:rPr>
          <w:rFonts w:eastAsia="Times New Roman" w:cstheme="minorHAnsi"/>
          <w:lang w:eastAsia="el-GR"/>
        </w:rPr>
        <w:t xml:space="preserve"> Τα προγράμματα ΕΑ θα πρέπει να συμπληρώνονται από συνεκτικές πολιτικές υποδομής που να διασφαλίζουν την ισότιμη πρόσβαση σε αξιόπιστη διαδικτυακή συνδεσιμότητα και επαρκείς, κατάλληλες συσκευές. Επιπλέον, είναι απαραίτητο τα προγράμματα ΕΑ να αντιμετωπίζουν ενεργά τις αντιλαμβανόμενες προκλήσεις διαχείρισης χρόνου (π.χ., μέσω της παροχής ασύγχρονων ενοτήτων μάθησης και </w:t>
      </w:r>
      <w:proofErr w:type="spellStart"/>
      <w:r w:rsidR="00330DB3" w:rsidRPr="00334E5D">
        <w:rPr>
          <w:rFonts w:eastAsia="Times New Roman" w:cstheme="minorHAnsi"/>
          <w:lang w:eastAsia="el-GR"/>
        </w:rPr>
        <w:t>σύντοπων</w:t>
      </w:r>
      <w:proofErr w:type="spellEnd"/>
      <w:r w:rsidR="00330DB3" w:rsidRPr="00334E5D">
        <w:rPr>
          <w:rFonts w:eastAsia="Times New Roman" w:cstheme="minorHAnsi"/>
          <w:lang w:eastAsia="el-GR"/>
        </w:rPr>
        <w:t xml:space="preserve">, εύπεπτων μαθησιακών </w:t>
      </w:r>
      <w:proofErr w:type="spellStart"/>
      <w:r w:rsidR="00330DB3" w:rsidRPr="00334E5D">
        <w:rPr>
          <w:rFonts w:eastAsia="Times New Roman" w:cstheme="minorHAnsi"/>
          <w:lang w:eastAsia="el-GR"/>
        </w:rPr>
        <w:t>modules</w:t>
      </w:r>
      <w:proofErr w:type="spellEnd"/>
      <w:r w:rsidR="00330DB3" w:rsidRPr="00334E5D">
        <w:rPr>
          <w:rFonts w:eastAsia="Times New Roman" w:cstheme="minorHAnsi"/>
          <w:lang w:eastAsia="el-GR"/>
        </w:rPr>
        <w:t>) και να περιλαμβάνουν εκτενείς ενότητες αφιερωμένες στην υπεύθυνη και ηθική χρήση της ΤΝ. Αυτό περιλαμβάνει την προστασία των προσωπικών δεδομένων των μαθητών, τη διασφάλιση της διαφάνειας των αλγορίθμων και την αντιμετώπιση της αλγοριθμικής προκατάληψης.</w:t>
      </w:r>
    </w:p>
    <w:p w:rsidR="006966BC" w:rsidRPr="00334E5D" w:rsidRDefault="00C77B9C" w:rsidP="00334E5D">
      <w:pPr>
        <w:pStyle w:val="a3"/>
        <w:numPr>
          <w:ilvl w:val="0"/>
          <w:numId w:val="9"/>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Διαφοροποίηση και κοινοτική ε</w:t>
      </w:r>
      <w:r w:rsidR="00330DB3" w:rsidRPr="00334E5D">
        <w:rPr>
          <w:rFonts w:eastAsia="Times New Roman" w:cstheme="minorHAnsi"/>
          <w:bCs/>
          <w:lang w:eastAsia="el-GR"/>
        </w:rPr>
        <w:t>νδυνάμωση:</w:t>
      </w:r>
      <w:r w:rsidR="00330DB3" w:rsidRPr="00334E5D">
        <w:rPr>
          <w:rFonts w:eastAsia="Times New Roman" w:cstheme="minorHAnsi"/>
          <w:lang w:eastAsia="el-GR"/>
        </w:rPr>
        <w:t xml:space="preserve"> Η ΕΑ πρέπει να σχεδιάζεται με γνώμονα την προσαρμογή στα ποικίλα επίπεδα ψηφιακού </w:t>
      </w:r>
      <w:proofErr w:type="spellStart"/>
      <w:r w:rsidR="00330DB3" w:rsidRPr="00334E5D">
        <w:rPr>
          <w:rFonts w:eastAsia="Times New Roman" w:cstheme="minorHAnsi"/>
          <w:lang w:eastAsia="el-GR"/>
        </w:rPr>
        <w:t>γραμματισμού</w:t>
      </w:r>
      <w:proofErr w:type="spellEnd"/>
      <w:r w:rsidR="00330DB3" w:rsidRPr="00334E5D">
        <w:rPr>
          <w:rFonts w:eastAsia="Times New Roman" w:cstheme="minorHAnsi"/>
          <w:lang w:eastAsia="el-GR"/>
        </w:rPr>
        <w:t xml:space="preserve"> και την προηγούμενη εμπειρία των εκπαιδευτικών, προσφέροντας εξατομικευμένες μαθησιακές διαδρομές. Η συγκρότηση Κοινοτήτων Πρακτικής (</w:t>
      </w:r>
      <w:proofErr w:type="spellStart"/>
      <w:r w:rsidR="00330DB3" w:rsidRPr="00334E5D">
        <w:rPr>
          <w:rFonts w:eastAsia="Times New Roman" w:cstheme="minorHAnsi"/>
          <w:lang w:eastAsia="el-GR"/>
        </w:rPr>
        <w:t>Communities</w:t>
      </w:r>
      <w:proofErr w:type="spellEnd"/>
      <w:r w:rsidR="00330DB3" w:rsidRPr="00334E5D">
        <w:rPr>
          <w:rFonts w:eastAsia="Times New Roman" w:cstheme="minorHAnsi"/>
          <w:lang w:eastAsia="el-GR"/>
        </w:rPr>
        <w:t xml:space="preserve"> of </w:t>
      </w:r>
      <w:proofErr w:type="spellStart"/>
      <w:r w:rsidR="00330DB3" w:rsidRPr="00334E5D">
        <w:rPr>
          <w:rFonts w:eastAsia="Times New Roman" w:cstheme="minorHAnsi"/>
          <w:lang w:eastAsia="el-GR"/>
        </w:rPr>
        <w:t>Practice</w:t>
      </w:r>
      <w:proofErr w:type="spellEnd"/>
      <w:r w:rsidR="00330DB3" w:rsidRPr="00334E5D">
        <w:rPr>
          <w:rFonts w:eastAsia="Times New Roman" w:cstheme="minorHAnsi"/>
          <w:lang w:eastAsia="el-GR"/>
        </w:rPr>
        <w:t>) και η ανάπτυξη δικτύων υποστήριξης των εκπαιδευτικών (π.χ., μέσω θεσμών σχολικών μεντόρων ή συνεργατικών ομάδων) δύναται να ενισχύσει τη συλλογική μάθηση και να μετριάσει το αίσθημα απομόνωσης κατά την υιοθέτηση νέων τεχνολογιών.</w:t>
      </w: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 xml:space="preserve">Η παρούσα επιστημονική διερεύνηση, παρά την αξιόλογη συνεισφορά της στην ποσοτική κατανόηση του εξεταζόμενου φαινομένου, φέρει εγγενείς μεθοδολογικούς περιορισμούς. Πρωτίστως, η εξάρτηση από </w:t>
      </w:r>
      <w:proofErr w:type="spellStart"/>
      <w:r w:rsidRPr="00330DB3">
        <w:rPr>
          <w:rFonts w:eastAsia="Times New Roman" w:cstheme="minorHAnsi"/>
          <w:lang w:eastAsia="el-GR"/>
        </w:rPr>
        <w:t>αυτοαναφορικά</w:t>
      </w:r>
      <w:proofErr w:type="spellEnd"/>
      <w:r w:rsidRPr="00330DB3">
        <w:rPr>
          <w:rFonts w:eastAsia="Times New Roman" w:cstheme="minorHAnsi"/>
          <w:lang w:eastAsia="el-GR"/>
        </w:rPr>
        <w:t xml:space="preserve"> δεδομένα καθιστά πιθανή την εμφάνιση προκατάληψης κοινωνικής </w:t>
      </w:r>
      <w:proofErr w:type="spellStart"/>
      <w:r w:rsidRPr="00330DB3">
        <w:rPr>
          <w:rFonts w:eastAsia="Times New Roman" w:cstheme="minorHAnsi"/>
          <w:lang w:eastAsia="el-GR"/>
        </w:rPr>
        <w:t>επιθυμητότητας</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social</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desirability</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bias</w:t>
      </w:r>
      <w:proofErr w:type="spellEnd"/>
      <w:r w:rsidRPr="00330DB3">
        <w:rPr>
          <w:rFonts w:eastAsia="Times New Roman" w:cstheme="minorHAnsi"/>
          <w:lang w:eastAsia="el-GR"/>
        </w:rPr>
        <w:t xml:space="preserve">), όπου οι συμμετέχοντες ενδέχεται να διαμορφώνουν τις απαντήσεις τους σύμφωνα με τις αντιλαμβανόμενες κοινωνικές προσδοκίες ή τους επιθυμητούς κανόνες. Επιπρόσθετα, μολονότι το επαρκές μέγεθος του δείγματος ενισχύει τη στατιστική </w:t>
      </w:r>
      <w:proofErr w:type="spellStart"/>
      <w:r w:rsidRPr="00330DB3">
        <w:rPr>
          <w:rFonts w:eastAsia="Times New Roman" w:cstheme="minorHAnsi"/>
          <w:lang w:eastAsia="el-GR"/>
        </w:rPr>
        <w:t>γενικευσιμότητα</w:t>
      </w:r>
      <w:proofErr w:type="spellEnd"/>
      <w:r w:rsidRPr="00330DB3">
        <w:rPr>
          <w:rFonts w:eastAsia="Times New Roman" w:cstheme="minorHAnsi"/>
          <w:lang w:eastAsia="el-GR"/>
        </w:rPr>
        <w:t xml:space="preserve">, τα εξαχθέντα ευρήματα προέρχονται από ένα συγκεκριμένο γεωγραφικό </w:t>
      </w:r>
      <w:r w:rsidR="00BF7184">
        <w:rPr>
          <w:rFonts w:eastAsia="Times New Roman" w:cstheme="minorHAnsi"/>
          <w:lang w:eastAsia="el-GR"/>
        </w:rPr>
        <w:t>και εκπαιδευτικό πλαίσιο (Ελλάδα</w:t>
      </w:r>
      <w:r w:rsidRPr="00330DB3">
        <w:rPr>
          <w:rFonts w:eastAsia="Times New Roman" w:cstheme="minorHAnsi"/>
          <w:lang w:eastAsia="el-GR"/>
        </w:rPr>
        <w:t xml:space="preserve">). Ως εκ τούτου, η ευθεία γενίκευσή τους σε εθνικά εκπαιδευτικά συστήματα που διαθέτουν ετερογενείς παιδαγωγικές παραδόσεις, υποδομές και πολιτικές υιοθέτησης της ΤΝ, απαιτεί ιδιαίτερη προσοχή και αιτιολογημένη προσαρμογή. Η </w:t>
      </w:r>
      <w:proofErr w:type="spellStart"/>
      <w:r w:rsidRPr="00330DB3">
        <w:rPr>
          <w:rFonts w:eastAsia="Times New Roman" w:cstheme="minorHAnsi"/>
          <w:lang w:eastAsia="el-GR"/>
        </w:rPr>
        <w:t>διατομική</w:t>
      </w:r>
      <w:proofErr w:type="spellEnd"/>
      <w:r w:rsidRPr="00330DB3">
        <w:rPr>
          <w:rFonts w:eastAsia="Times New Roman" w:cstheme="minorHAnsi"/>
          <w:lang w:eastAsia="el-GR"/>
        </w:rPr>
        <w:t xml:space="preserve"> φύση (</w:t>
      </w:r>
      <w:proofErr w:type="spellStart"/>
      <w:r w:rsidRPr="00330DB3">
        <w:rPr>
          <w:rFonts w:eastAsia="Times New Roman" w:cstheme="minorHAnsi"/>
          <w:lang w:eastAsia="el-GR"/>
        </w:rPr>
        <w:t>cross</w:t>
      </w:r>
      <w:proofErr w:type="spellEnd"/>
      <w:r w:rsidR="00334E5D">
        <w:rPr>
          <w:rFonts w:eastAsia="Times New Roman" w:cstheme="minorHAnsi"/>
          <w:lang w:eastAsia="el-GR"/>
        </w:rPr>
        <w:t xml:space="preserve"> – </w:t>
      </w:r>
      <w:proofErr w:type="spellStart"/>
      <w:r w:rsidRPr="00330DB3">
        <w:rPr>
          <w:rFonts w:eastAsia="Times New Roman" w:cstheme="minorHAnsi"/>
          <w:lang w:eastAsia="el-GR"/>
        </w:rPr>
        <w:t>sectional</w:t>
      </w:r>
      <w:proofErr w:type="spellEnd"/>
      <w:r w:rsidR="00334E5D">
        <w:rPr>
          <w:rFonts w:eastAsia="Times New Roman" w:cstheme="minorHAnsi"/>
          <w:lang w:eastAsia="el-GR"/>
        </w:rPr>
        <w:t xml:space="preserve"> </w:t>
      </w:r>
      <w:r w:rsidRPr="00330DB3">
        <w:rPr>
          <w:rFonts w:eastAsia="Times New Roman" w:cstheme="minorHAnsi"/>
          <w:lang w:eastAsia="el-GR"/>
        </w:rPr>
        <w:t xml:space="preserve"> </w:t>
      </w:r>
      <w:proofErr w:type="spellStart"/>
      <w:r w:rsidRPr="00330DB3">
        <w:rPr>
          <w:rFonts w:eastAsia="Times New Roman" w:cstheme="minorHAnsi"/>
          <w:lang w:eastAsia="el-GR"/>
        </w:rPr>
        <w:t>design</w:t>
      </w:r>
      <w:proofErr w:type="spellEnd"/>
      <w:r w:rsidRPr="00330DB3">
        <w:rPr>
          <w:rFonts w:eastAsia="Times New Roman" w:cstheme="minorHAnsi"/>
          <w:lang w:eastAsia="el-GR"/>
        </w:rPr>
        <w:t>) της μελέτης, αν και προσφέρει ένα εγκάρσιο στιγμιότυπο των αντιλήψεων σε δεδομένη χρονική στιγμή, δεν επιτρέπει την εξαγωγή αιτιολογικών συμπερασμάτων ούτε την παρακολούθηση της δυναμικής εξέλιξης των αντιλήψεων σε βάθος χρόνου. Τέλος, ενώ η εστίαση στις αντιλήψεις των εκπαιδευτικών αποτελούσε συνειδητό μεθοδολογικό περιορισμό για την απάντηση των αρχικών ερευνητικών ερωτημάτων, η απουσία δεδομένων από μαθητές ή γονείς συνεπάγεται ότι η παρούσα μελέτη δεν είναι σε θέση να αξιολογήσει άμεσα τον αντίκτυπο της ΤΝ στις μαθησιακές εμπειρίες ή τα αποτελέσματα των μαθητών.</w:t>
      </w:r>
    </w:p>
    <w:p w:rsidR="00334E5D" w:rsidRDefault="008E0220" w:rsidP="000117E9">
      <w:pPr>
        <w:spacing w:after="0" w:line="240" w:lineRule="auto"/>
        <w:ind w:firstLine="284"/>
        <w:jc w:val="both"/>
        <w:rPr>
          <w:rFonts w:eastAsia="Times New Roman" w:cstheme="minorHAnsi"/>
          <w:lang w:eastAsia="el-GR"/>
        </w:rPr>
      </w:pPr>
      <w:r w:rsidRPr="00330DB3">
        <w:rPr>
          <w:rFonts w:eastAsia="Times New Roman" w:cstheme="minorHAnsi"/>
          <w:lang w:eastAsia="el-GR"/>
        </w:rPr>
        <w:t xml:space="preserve">Προς περαιτέρω προαγωγή αυτού του κρίσιμου ερευνητικού πεδίου, προτείνονται οι ακόλουθες κατευθυντήριες </w:t>
      </w:r>
      <w:r w:rsidR="0014175E">
        <w:rPr>
          <w:rFonts w:eastAsia="Times New Roman" w:cstheme="minorHAnsi"/>
          <w:lang w:eastAsia="el-GR"/>
        </w:rPr>
        <w:t>γραμμές για μελλοντικές μελέτες</w:t>
      </w:r>
      <w:r w:rsidR="0014175E" w:rsidRPr="0014175E">
        <w:rPr>
          <w:rFonts w:eastAsia="Times New Roman" w:cstheme="minorHAnsi"/>
          <w:lang w:eastAsia="el-GR"/>
        </w:rPr>
        <w:t xml:space="preserve">: </w:t>
      </w:r>
    </w:p>
    <w:p w:rsidR="00334E5D" w:rsidRPr="00334E5D" w:rsidRDefault="00A83F14" w:rsidP="00334E5D">
      <w:pPr>
        <w:pStyle w:val="a3"/>
        <w:numPr>
          <w:ilvl w:val="0"/>
          <w:numId w:val="10"/>
        </w:numPr>
        <w:spacing w:after="0" w:line="240" w:lineRule="auto"/>
        <w:ind w:left="567" w:hanging="283"/>
        <w:jc w:val="both"/>
        <w:rPr>
          <w:rFonts w:eastAsia="Times New Roman" w:cstheme="minorHAnsi"/>
          <w:lang w:eastAsia="el-GR"/>
        </w:rPr>
      </w:pPr>
      <w:r w:rsidRPr="00334E5D">
        <w:rPr>
          <w:rFonts w:eastAsia="Times New Roman" w:cstheme="minorHAnsi"/>
          <w:lang w:eastAsia="el-GR"/>
        </w:rPr>
        <w:t>Ε</w:t>
      </w:r>
      <w:r w:rsidRPr="00334E5D">
        <w:rPr>
          <w:rFonts w:eastAsia="Times New Roman" w:cstheme="minorHAnsi"/>
          <w:bCs/>
          <w:lang w:eastAsia="el-GR"/>
        </w:rPr>
        <w:t>πιμήκεις δ</w:t>
      </w:r>
      <w:r w:rsidR="008E0220" w:rsidRPr="00334E5D">
        <w:rPr>
          <w:rFonts w:eastAsia="Times New Roman" w:cstheme="minorHAnsi"/>
          <w:bCs/>
          <w:lang w:eastAsia="el-GR"/>
        </w:rPr>
        <w:t>ιερευνήσεις:</w:t>
      </w:r>
      <w:r w:rsidR="008E0220" w:rsidRPr="00334E5D">
        <w:rPr>
          <w:rFonts w:eastAsia="Times New Roman" w:cstheme="minorHAnsi"/>
          <w:lang w:eastAsia="el-GR"/>
        </w:rPr>
        <w:t xml:space="preserve"> Η διεξαγωγή διαχρονικών ερευνών καθίσταται απαραίτητη για την συστηματική παρακολούθηση της εξέλιξης της ετοιμότητας και των παιδαγωγικών πρακτικών των εκπαιδευτικών, μετά την εφαρμογή ολοκληρωμένων προγραμμάτων επαγγελματικής α</w:t>
      </w:r>
      <w:r w:rsidR="00334E5D" w:rsidRPr="00334E5D">
        <w:rPr>
          <w:rFonts w:eastAsia="Times New Roman" w:cstheme="minorHAnsi"/>
          <w:lang w:eastAsia="el-GR"/>
        </w:rPr>
        <w:t>νάπτυξης στην Τεχνητή Νοημοσύνη.</w:t>
      </w:r>
      <w:r w:rsidR="0014175E" w:rsidRPr="00334E5D">
        <w:rPr>
          <w:rFonts w:eastAsia="Times New Roman" w:cstheme="minorHAnsi"/>
          <w:lang w:eastAsia="el-GR"/>
        </w:rPr>
        <w:t xml:space="preserve"> </w:t>
      </w:r>
    </w:p>
    <w:p w:rsidR="00334E5D" w:rsidRPr="00334E5D" w:rsidRDefault="00A83F14" w:rsidP="00334E5D">
      <w:pPr>
        <w:pStyle w:val="a3"/>
        <w:numPr>
          <w:ilvl w:val="0"/>
          <w:numId w:val="10"/>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Ποιοτικές και μικτές μ</w:t>
      </w:r>
      <w:r w:rsidR="008E0220" w:rsidRPr="00334E5D">
        <w:rPr>
          <w:rFonts w:eastAsia="Times New Roman" w:cstheme="minorHAnsi"/>
          <w:bCs/>
          <w:lang w:eastAsia="el-GR"/>
        </w:rPr>
        <w:t>εθοδολογίες:</w:t>
      </w:r>
      <w:r w:rsidR="008E0220" w:rsidRPr="00334E5D">
        <w:rPr>
          <w:rFonts w:eastAsia="Times New Roman" w:cstheme="minorHAnsi"/>
          <w:lang w:eastAsia="el-GR"/>
        </w:rPr>
        <w:t xml:space="preserve"> Προτείνεται η εμβάθυνση στην κατανόηση των αντιλήψεων των εκπαιδευτικών μέσω ποιοτικών μεθοδολογιών (π.χ., φαινομενολογικές συνεντεύξεις, εθνογραφικές μελέτες περίπτωσης αναφορικά με την ενσωμάτωση της ΤΝ σε σχολικές μονάδες), με σκοπό την αποκάλυψη των υποκείμενων </w:t>
      </w:r>
      <w:r w:rsidR="008E0220" w:rsidRPr="00334E5D">
        <w:rPr>
          <w:rFonts w:eastAsia="Times New Roman" w:cstheme="minorHAnsi"/>
          <w:lang w:eastAsia="el-GR"/>
        </w:rPr>
        <w:lastRenderedPageBreak/>
        <w:t xml:space="preserve">βιωμάτων και των νοημάτων που αποδίδονται από τους εκπαιδευτικούς στην ΤΝ. Η συστηματική ενσωμάτωση ποιοτικών και ποσοτικών δεδομένων στο πλαίσιο μελετών μικτών μεθόδων δύναται να προσφέρει μια πλουσιότερη και πολυδιάστατη κατανόηση </w:t>
      </w:r>
      <w:r w:rsidR="00334E5D" w:rsidRPr="00334E5D">
        <w:rPr>
          <w:rFonts w:eastAsia="Times New Roman" w:cstheme="minorHAnsi"/>
          <w:lang w:eastAsia="el-GR"/>
        </w:rPr>
        <w:t>του φαινομένου.</w:t>
      </w:r>
      <w:r w:rsidR="0014175E" w:rsidRPr="00334E5D">
        <w:rPr>
          <w:rFonts w:eastAsia="Times New Roman" w:cstheme="minorHAnsi"/>
          <w:lang w:eastAsia="el-GR"/>
        </w:rPr>
        <w:t xml:space="preserve"> </w:t>
      </w:r>
    </w:p>
    <w:p w:rsidR="00334E5D" w:rsidRPr="00334E5D" w:rsidRDefault="00A83F14" w:rsidP="00334E5D">
      <w:pPr>
        <w:pStyle w:val="a3"/>
        <w:numPr>
          <w:ilvl w:val="0"/>
          <w:numId w:val="10"/>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Μελέτες π</w:t>
      </w:r>
      <w:r w:rsidR="008E0220" w:rsidRPr="00334E5D">
        <w:rPr>
          <w:rFonts w:eastAsia="Times New Roman" w:cstheme="minorHAnsi"/>
          <w:bCs/>
          <w:lang w:eastAsia="el-GR"/>
        </w:rPr>
        <w:t>αρέμβασης:</w:t>
      </w:r>
      <w:r w:rsidR="008E0220" w:rsidRPr="00334E5D">
        <w:rPr>
          <w:rFonts w:eastAsia="Times New Roman" w:cstheme="minorHAnsi"/>
          <w:lang w:eastAsia="el-GR"/>
        </w:rPr>
        <w:t xml:space="preserve"> Επιβάλλεται ο σχεδιασμός και η αξιολόγηση πειραματικών ή </w:t>
      </w:r>
      <w:proofErr w:type="spellStart"/>
      <w:r w:rsidR="008E0220" w:rsidRPr="00334E5D">
        <w:rPr>
          <w:rFonts w:eastAsia="Times New Roman" w:cstheme="minorHAnsi"/>
          <w:lang w:eastAsia="el-GR"/>
        </w:rPr>
        <w:t>ημι</w:t>
      </w:r>
      <w:proofErr w:type="spellEnd"/>
      <w:r w:rsidR="008E0220" w:rsidRPr="00334E5D">
        <w:rPr>
          <w:rFonts w:eastAsia="Times New Roman" w:cstheme="minorHAnsi"/>
          <w:lang w:eastAsia="el-GR"/>
        </w:rPr>
        <w:t>-πειραματικών μελετών, οι οποίες θα διερευνούν την αποτελεσματικότητα συγκεκριμένων μοντέλων επαγγελματικής ανάπτυξης στην ΤΝ, μετρώντας τόσο τις αλλαγές στις αντιλήψεις και τις δεξιότητες των εκπαιδευτικών, όσο και τον άμεσο αντίκτυπο στην παιδαγωγική τους πρακτική και τα μαθ</w:t>
      </w:r>
      <w:r w:rsidR="00334E5D" w:rsidRPr="00334E5D">
        <w:rPr>
          <w:rFonts w:eastAsia="Times New Roman" w:cstheme="minorHAnsi"/>
          <w:lang w:eastAsia="el-GR"/>
        </w:rPr>
        <w:t>ησιακά αποτελέσματα των μαθητών.</w:t>
      </w:r>
    </w:p>
    <w:p w:rsidR="00334E5D" w:rsidRPr="00334E5D" w:rsidRDefault="00A83F14" w:rsidP="00334E5D">
      <w:pPr>
        <w:pStyle w:val="a3"/>
        <w:numPr>
          <w:ilvl w:val="0"/>
          <w:numId w:val="10"/>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Θεωρητική δ</w:t>
      </w:r>
      <w:r w:rsidR="008E0220" w:rsidRPr="00334E5D">
        <w:rPr>
          <w:rFonts w:eastAsia="Times New Roman" w:cstheme="minorHAnsi"/>
          <w:bCs/>
          <w:lang w:eastAsia="el-GR"/>
        </w:rPr>
        <w:t>ιεύρυνση:</w:t>
      </w:r>
      <w:r w:rsidR="008E0220" w:rsidRPr="00334E5D">
        <w:rPr>
          <w:rFonts w:eastAsia="Times New Roman" w:cstheme="minorHAnsi"/>
          <w:lang w:eastAsia="el-GR"/>
        </w:rPr>
        <w:t xml:space="preserve"> Προκρίνεται η διερεύνηση της </w:t>
      </w:r>
      <w:proofErr w:type="spellStart"/>
      <w:r w:rsidR="008E0220" w:rsidRPr="00334E5D">
        <w:rPr>
          <w:rFonts w:eastAsia="Times New Roman" w:cstheme="minorHAnsi"/>
          <w:lang w:eastAsia="el-GR"/>
        </w:rPr>
        <w:t>εφαρμοσιμότητας</w:t>
      </w:r>
      <w:proofErr w:type="spellEnd"/>
      <w:r w:rsidR="008E0220" w:rsidRPr="00334E5D">
        <w:rPr>
          <w:rFonts w:eastAsia="Times New Roman" w:cstheme="minorHAnsi"/>
          <w:lang w:eastAsia="el-GR"/>
        </w:rPr>
        <w:t xml:space="preserve"> και της επέκτασης υφιστάμενων θεωρητικών πλαισίων (π.χ., Θεωρία Διάχυσης των Καινοτομιών, </w:t>
      </w:r>
      <w:proofErr w:type="spellStart"/>
      <w:r w:rsidR="008E0220" w:rsidRPr="00334E5D">
        <w:rPr>
          <w:rFonts w:eastAsia="Times New Roman" w:cstheme="minorHAnsi"/>
          <w:lang w:eastAsia="el-GR"/>
        </w:rPr>
        <w:t>Κοινωνικοπολιτισμικές</w:t>
      </w:r>
      <w:proofErr w:type="spellEnd"/>
      <w:r w:rsidR="008E0220" w:rsidRPr="00334E5D">
        <w:rPr>
          <w:rFonts w:eastAsia="Times New Roman" w:cstheme="minorHAnsi"/>
          <w:lang w:eastAsia="el-GR"/>
        </w:rPr>
        <w:t xml:space="preserve"> Θεωρίες Μάθησης) στο πλαίσιο της ΤΝ στην εκπαίδευση, ενσωματώνοντας τις ιδιαιτερότητες των αλγοριθμικών συστημάτων </w:t>
      </w:r>
      <w:r w:rsidR="0014175E" w:rsidRPr="00334E5D">
        <w:rPr>
          <w:rFonts w:eastAsia="Times New Roman" w:cstheme="minorHAnsi"/>
          <w:lang w:eastAsia="el-GR"/>
        </w:rPr>
        <w:t>και τις ηθικές τους προεκτάσεις</w:t>
      </w:r>
      <w:r w:rsidR="00334E5D">
        <w:rPr>
          <w:rFonts w:eastAsia="Times New Roman" w:cstheme="minorHAnsi"/>
          <w:lang w:eastAsia="el-GR"/>
        </w:rPr>
        <w:t>.</w:t>
      </w:r>
      <w:r w:rsidR="0014175E" w:rsidRPr="00334E5D">
        <w:rPr>
          <w:rFonts w:eastAsia="Times New Roman" w:cstheme="minorHAnsi"/>
          <w:lang w:eastAsia="el-GR"/>
        </w:rPr>
        <w:t xml:space="preserve"> </w:t>
      </w:r>
    </w:p>
    <w:p w:rsidR="008E0220" w:rsidRPr="00334E5D" w:rsidRDefault="00A83F14" w:rsidP="00334E5D">
      <w:pPr>
        <w:pStyle w:val="a3"/>
        <w:numPr>
          <w:ilvl w:val="0"/>
          <w:numId w:val="10"/>
        </w:numPr>
        <w:spacing w:after="0" w:line="240" w:lineRule="auto"/>
        <w:ind w:left="567" w:hanging="283"/>
        <w:jc w:val="both"/>
        <w:rPr>
          <w:rFonts w:eastAsia="Times New Roman" w:cstheme="minorHAnsi"/>
          <w:lang w:eastAsia="el-GR"/>
        </w:rPr>
      </w:pPr>
      <w:r w:rsidRPr="00334E5D">
        <w:rPr>
          <w:rFonts w:eastAsia="Times New Roman" w:cstheme="minorHAnsi"/>
          <w:bCs/>
          <w:lang w:eastAsia="el-GR"/>
        </w:rPr>
        <w:t>Διεπιστημονική σ</w:t>
      </w:r>
      <w:r w:rsidR="008E0220" w:rsidRPr="00334E5D">
        <w:rPr>
          <w:rFonts w:eastAsia="Times New Roman" w:cstheme="minorHAnsi"/>
          <w:bCs/>
          <w:lang w:eastAsia="el-GR"/>
        </w:rPr>
        <w:t>υνεργασία:</w:t>
      </w:r>
      <w:r w:rsidR="008E0220" w:rsidRPr="00334E5D">
        <w:rPr>
          <w:rFonts w:eastAsia="Times New Roman" w:cstheme="minorHAnsi"/>
          <w:lang w:eastAsia="el-GR"/>
        </w:rPr>
        <w:t xml:space="preserve"> Ενθαρρύνεται η προώθηση της διεπιστημονικής συνεργασίας μεταξύ εκπαιδευτικών, επιστημόνων υπολογιστών, ειδικών ηθικής και κοινωνιολόγων, με σκοπό την ανάπτυξη και αξιολόγηση εργαλείων ΤΝ που είναι παιδαγωγικά ορθά, ηθικά υπεύθυνα και κοινωνικά δίκαια για την πρωτοβάθμια εκπαίδευση.</w:t>
      </w:r>
    </w:p>
    <w:p w:rsidR="006966BC" w:rsidRPr="00D170D7" w:rsidRDefault="008C0AF1" w:rsidP="00D170D7">
      <w:pPr>
        <w:suppressAutoHyphens/>
        <w:spacing w:before="240" w:after="0" w:line="240" w:lineRule="auto"/>
        <w:ind w:firstLine="284"/>
        <w:rPr>
          <w:rFonts w:ascii="Calibri" w:eastAsia="Times New Roman" w:hAnsi="Calibri" w:cs="Calibri"/>
          <w:b/>
          <w:lang w:eastAsia="zh-CN"/>
        </w:rPr>
      </w:pPr>
      <w:r w:rsidRPr="00D170D7">
        <w:rPr>
          <w:rFonts w:ascii="Calibri" w:eastAsia="Times New Roman" w:hAnsi="Calibri" w:cs="Calibri"/>
          <w:b/>
          <w:lang w:eastAsia="zh-CN"/>
        </w:rPr>
        <w:t>Συμπερά</w:t>
      </w:r>
      <w:r w:rsidR="00330DB3" w:rsidRPr="00D170D7">
        <w:rPr>
          <w:rFonts w:ascii="Calibri" w:eastAsia="Times New Roman" w:hAnsi="Calibri" w:cs="Calibri"/>
          <w:b/>
          <w:lang w:eastAsia="zh-CN"/>
        </w:rPr>
        <w:t>σμα</w:t>
      </w:r>
      <w:r w:rsidRPr="00D170D7">
        <w:rPr>
          <w:rFonts w:ascii="Calibri" w:eastAsia="Times New Roman" w:hAnsi="Calibri" w:cs="Calibri"/>
          <w:b/>
          <w:lang w:eastAsia="zh-CN"/>
        </w:rPr>
        <w:t>τα</w:t>
      </w:r>
      <w:r w:rsidR="00330DB3" w:rsidRPr="00D170D7">
        <w:rPr>
          <w:rFonts w:ascii="Calibri" w:eastAsia="Times New Roman" w:hAnsi="Calibri" w:cs="Calibri"/>
          <w:b/>
          <w:lang w:eastAsia="zh-CN"/>
        </w:rPr>
        <w:t xml:space="preserve"> </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 xml:space="preserve">Η ραγδαία εξελικτική πορεία της Τεχνητής Νοημοσύνης (ΤΝ) στον εκπαιδευτικό τομέα συνιστά μια πολυδιάστατη παιδαγωγική πρόκληση, συγχρόνως δε, αναδεικνύει μια μοναδική ευκαιρία για τον δομικό μετασχηματισμό της μαθησιακής διαδικασίας στην πρωτοβάθμια εκπαίδευση. Η παρούσα ποσοτική μελέτη συνεισφέρει ουσιαστικά στην υφιστάμενη βιβλιογραφία, αντιμετωπίζοντας ένα σημαντικό ερευνητικό κενό στην κατανόηση των αντιλήψεων των εκπαιδευτικών πρωτοβάθμιας εκπαίδευσης αναφορικά με την ετοιμότητα, τις αντιλαμβανόμενες προκλήσεις και τις στάσεις τους έναντι της ενσωμάτωσης της ΤΝ. Τα ευρήματα, τα οποία παρουσιάζονται με σαφήνεια μέσω ποσοστιαίων κατανομών και πινάκων, καταδεικνύουν ότι, ενώ υφίσταται μία σαφής προθυμία και αναγνώριση των δυνητικών δυνατοτήτων της ΤΝ, οι εκπαιδευτικοί αντιμετωπίζουν παράλληλα συστημικά εμπόδια, με κυριότερες την ανεπάρκεια επαρκούς και </w:t>
      </w:r>
      <w:proofErr w:type="spellStart"/>
      <w:r w:rsidRPr="00330DB3">
        <w:rPr>
          <w:rFonts w:eastAsia="Times New Roman" w:cstheme="minorHAnsi"/>
          <w:lang w:eastAsia="el-GR"/>
        </w:rPr>
        <w:t>στοχευμένης</w:t>
      </w:r>
      <w:proofErr w:type="spellEnd"/>
      <w:r w:rsidRPr="00330DB3">
        <w:rPr>
          <w:rFonts w:eastAsia="Times New Roman" w:cstheme="minorHAnsi"/>
          <w:lang w:eastAsia="el-GR"/>
        </w:rPr>
        <w:t xml:space="preserve"> επαγγελματικής ανάπτυξης, καθώς και τις ανησυχίες που σχετίζονται με τις ηθικές και παιδαγωγικές προεκτάσεις της ΤΝ.</w:t>
      </w:r>
    </w:p>
    <w:p w:rsidR="00330DB3" w:rsidRP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 xml:space="preserve">Η πρωταρχική συμβολή της παρούσας μελέτης έγκειται στην παροχή εμπειρικών δεδομένων από το πεδίο της πρωτοβάθμιας εκπαίδευσης, έναν τομέα ο οποίος συχνά </w:t>
      </w:r>
      <w:proofErr w:type="spellStart"/>
      <w:r w:rsidRPr="00330DB3">
        <w:rPr>
          <w:rFonts w:eastAsia="Times New Roman" w:cstheme="minorHAnsi"/>
          <w:lang w:eastAsia="el-GR"/>
        </w:rPr>
        <w:t>υποεκπροσωπείται</w:t>
      </w:r>
      <w:proofErr w:type="spellEnd"/>
      <w:r w:rsidRPr="00330DB3">
        <w:rPr>
          <w:rFonts w:eastAsia="Times New Roman" w:cstheme="minorHAnsi"/>
          <w:lang w:eastAsia="el-GR"/>
        </w:rPr>
        <w:t xml:space="preserve"> στην έρευνα της ΤΝ στην εκπαίδευση. Τα εξαχθέντα ευρήματα όχι μόνο επικυρώνουν υφιστάμενα θεωρητικά μοντέλα, όπως το </w:t>
      </w:r>
      <w:proofErr w:type="spellStart"/>
      <w:r w:rsidRPr="00330DB3">
        <w:rPr>
          <w:rFonts w:eastAsia="Times New Roman" w:cstheme="minorHAnsi"/>
          <w:lang w:eastAsia="el-GR"/>
        </w:rPr>
        <w:t>Technology</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Acceptance</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Model</w:t>
      </w:r>
      <w:proofErr w:type="spellEnd"/>
      <w:r w:rsidRPr="00330DB3">
        <w:rPr>
          <w:rFonts w:eastAsia="Times New Roman" w:cstheme="minorHAnsi"/>
          <w:lang w:eastAsia="el-GR"/>
        </w:rPr>
        <w:t xml:space="preserve"> (TAM) και το </w:t>
      </w:r>
      <w:proofErr w:type="spellStart"/>
      <w:r w:rsidRPr="00330DB3">
        <w:rPr>
          <w:rFonts w:eastAsia="Times New Roman" w:cstheme="minorHAnsi"/>
          <w:lang w:eastAsia="el-GR"/>
        </w:rPr>
        <w:t>Technological</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Pedagogical</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Content</w:t>
      </w:r>
      <w:proofErr w:type="spellEnd"/>
      <w:r w:rsidRPr="00330DB3">
        <w:rPr>
          <w:rFonts w:eastAsia="Times New Roman" w:cstheme="minorHAnsi"/>
          <w:lang w:eastAsia="el-GR"/>
        </w:rPr>
        <w:t xml:space="preserve"> </w:t>
      </w:r>
      <w:proofErr w:type="spellStart"/>
      <w:r w:rsidRPr="00330DB3">
        <w:rPr>
          <w:rFonts w:eastAsia="Times New Roman" w:cstheme="minorHAnsi"/>
          <w:lang w:eastAsia="el-GR"/>
        </w:rPr>
        <w:t>Knowledge</w:t>
      </w:r>
      <w:proofErr w:type="spellEnd"/>
      <w:r w:rsidRPr="00330DB3">
        <w:rPr>
          <w:rFonts w:eastAsia="Times New Roman" w:cstheme="minorHAnsi"/>
          <w:lang w:eastAsia="el-GR"/>
        </w:rPr>
        <w:t xml:space="preserve"> (TPACK), αλλά και τα εμπλουτίζουν, αναδεικνύοντας τις ιδιαιτερότητες της ενσωμάτωσης της ΤΝ σε αυτό το αναπτυξιακά κρίσιμο στάδιο της εκπαίδευσης. Η μελέτη υπογραμμίζει εμφατικά ότι η επιτυχής </w:t>
      </w:r>
      <w:r w:rsidR="00085F4A">
        <w:rPr>
          <w:rFonts w:eastAsia="Times New Roman" w:cstheme="minorHAnsi"/>
          <w:lang w:eastAsia="el-GR"/>
        </w:rPr>
        <w:t>ενσωμάτωση της ΤΝ δε</w:t>
      </w:r>
      <w:r w:rsidRPr="00330DB3">
        <w:rPr>
          <w:rFonts w:eastAsia="Times New Roman" w:cstheme="minorHAnsi"/>
          <w:lang w:eastAsia="el-GR"/>
        </w:rPr>
        <w:t xml:space="preserve"> συνιστά απλώς ένα ζήτημα τεχνικής εφαρμογής, αλλά μια πολυδιάστατη παιδαγωγική, θεσμική και ηθική πρόκληση που απαιτεί μια συντονισμένη, συνεκτική και ανθρωποκεντρική προσέγγιση.</w:t>
      </w:r>
    </w:p>
    <w:p w:rsidR="00330DB3" w:rsidRDefault="00330DB3" w:rsidP="006966BC">
      <w:pPr>
        <w:spacing w:after="0" w:line="240" w:lineRule="auto"/>
        <w:ind w:firstLine="284"/>
        <w:jc w:val="both"/>
        <w:rPr>
          <w:rFonts w:eastAsia="Times New Roman" w:cstheme="minorHAnsi"/>
          <w:lang w:eastAsia="el-GR"/>
        </w:rPr>
      </w:pPr>
      <w:r w:rsidRPr="00330DB3">
        <w:rPr>
          <w:rFonts w:eastAsia="Times New Roman" w:cstheme="minorHAnsi"/>
          <w:lang w:eastAsia="el-GR"/>
        </w:rPr>
        <w:t xml:space="preserve">Κατόπιν των ανωτέρω, καθίσταται επιτακτική ανάγκη για τους φορείς χάραξης πολιτικής, τους εκπαιδευτικούς οργανισμούς και τα ακαδημαϊκά ιδρύματα να προβούν στον σχεδιασμό και την υλοποίηση ολιστικών προγραμμάτων επαγγελματικής ανάπτυξης, με στόχο την ενδυνάμωση του εκπαιδευτικού δυναμικού. Τα εν λόγω προγράμματα οφείλουν να είναι πρακτικά, συνεχή, να αντιμετωπίζουν αποτελεσματικά τις αναγνωρισμένες προκλήσεις (ιδίως την έλλειψη κατάρτισης και υποδομών) και να εστιάζουν στην καλλιέργεια μιας </w:t>
      </w:r>
      <w:r w:rsidRPr="00330DB3">
        <w:rPr>
          <w:rFonts w:eastAsia="Times New Roman" w:cstheme="minorHAnsi"/>
          <w:lang w:eastAsia="el-GR"/>
        </w:rPr>
        <w:lastRenderedPageBreak/>
        <w:t>κριτικής ΤΝ</w:t>
      </w:r>
      <w:r w:rsidR="009767AB">
        <w:rPr>
          <w:rFonts w:eastAsia="Times New Roman" w:cstheme="minorHAnsi"/>
          <w:lang w:eastAsia="el-GR"/>
        </w:rPr>
        <w:t xml:space="preserve"> </w:t>
      </w:r>
      <w:r w:rsidR="00085F4A">
        <w:rPr>
          <w:rFonts w:eastAsia="Times New Roman" w:cstheme="minorHAnsi"/>
          <w:lang w:eastAsia="el-GR"/>
        </w:rPr>
        <w:t>–</w:t>
      </w:r>
      <w:r w:rsidR="009767AB">
        <w:rPr>
          <w:rFonts w:eastAsia="Times New Roman" w:cstheme="minorHAnsi"/>
          <w:lang w:eastAsia="el-GR"/>
        </w:rPr>
        <w:t xml:space="preserve"> </w:t>
      </w:r>
      <w:r w:rsidRPr="00330DB3">
        <w:rPr>
          <w:rFonts w:eastAsia="Times New Roman" w:cstheme="minorHAnsi"/>
          <w:lang w:eastAsia="el-GR"/>
        </w:rPr>
        <w:t>παιδαγωγικής</w:t>
      </w:r>
      <w:r w:rsidR="00085F4A">
        <w:rPr>
          <w:rFonts w:eastAsia="Times New Roman" w:cstheme="minorHAnsi"/>
          <w:lang w:eastAsia="el-GR"/>
        </w:rPr>
        <w:t xml:space="preserve"> </w:t>
      </w:r>
      <w:r w:rsidRPr="00330DB3">
        <w:rPr>
          <w:rFonts w:eastAsia="Times New Roman" w:cstheme="minorHAnsi"/>
          <w:lang w:eastAsia="el-GR"/>
        </w:rPr>
        <w:t>σκέψης. Αυτή η σκέψη θα επιτρέψει στους εκπαιδευτικούς να αξιοποιούν τη ΤΝ ως εργαλείο για την ενίσχυση της μάθησης, διαφυλάσσοντας παράλληλα την ανθρώπινη διάσταση της εκπαίδευσης και διασφαλίζοντας την ηθική και υπεύθυνη χρήση της. Μόνο μέ</w:t>
      </w:r>
      <w:bookmarkStart w:id="0" w:name="_GoBack"/>
      <w:bookmarkEnd w:id="0"/>
      <w:r w:rsidRPr="00330DB3">
        <w:rPr>
          <w:rFonts w:eastAsia="Times New Roman" w:cstheme="minorHAnsi"/>
          <w:lang w:eastAsia="el-GR"/>
        </w:rPr>
        <w:t>σω μιας τέτοιας στρατηγικής προσέγγισης, η οποία θα συνδυάζει την τεχνολογική επάρκεια με την παιδαγωγική σοφία και την ηθική συνείδηση, δύναται να διασφαλιστεί ότι η ΤΝ θα υπηρετήσει πραγματικά το όραμα μιας δίκαιης, ποιοτικής και χωρίς αποκλεισμούς εκπαίδευσης για όλους τους μαθητές του μέλλοντος.</w:t>
      </w:r>
    </w:p>
    <w:p w:rsidR="00364500" w:rsidRPr="003557BE" w:rsidRDefault="00504302" w:rsidP="00D170D7">
      <w:pPr>
        <w:suppressAutoHyphens/>
        <w:spacing w:before="240" w:after="0" w:line="240" w:lineRule="auto"/>
        <w:ind w:firstLine="284"/>
        <w:rPr>
          <w:rFonts w:ascii="Calibri" w:eastAsia="Times New Roman" w:hAnsi="Calibri" w:cs="Calibri"/>
          <w:b/>
          <w:lang w:val="en-US" w:eastAsia="zh-CN"/>
        </w:rPr>
      </w:pPr>
      <w:r>
        <w:rPr>
          <w:rFonts w:ascii="Calibri" w:eastAsia="Times New Roman" w:hAnsi="Calibri" w:cs="Calibri"/>
          <w:b/>
          <w:lang w:eastAsia="zh-CN"/>
        </w:rPr>
        <w:t>Αναφορές</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Bandura, A. (1997). </w:t>
      </w:r>
      <w:r w:rsidRPr="00F41723">
        <w:rPr>
          <w:rFonts w:eastAsia="Times New Roman" w:cstheme="minorHAnsi"/>
          <w:i/>
          <w:iCs/>
          <w:lang w:val="en-US" w:eastAsia="el-GR"/>
        </w:rPr>
        <w:t>Self-efficacy: The exercise of control</w:t>
      </w:r>
      <w:r w:rsidRPr="00F41723">
        <w:rPr>
          <w:rFonts w:eastAsia="Times New Roman" w:cstheme="minorHAnsi"/>
          <w:lang w:val="en-US" w:eastAsia="el-GR"/>
        </w:rPr>
        <w:t>. W. H. Freeman.</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Blikstein</w:t>
      </w:r>
      <w:proofErr w:type="spellEnd"/>
      <w:r w:rsidRPr="00F41723">
        <w:rPr>
          <w:rFonts w:eastAsia="Times New Roman" w:cstheme="minorHAnsi"/>
          <w:lang w:val="en-US" w:eastAsia="el-GR"/>
        </w:rPr>
        <w:t xml:space="preserve">, P. (2013). Digital fabrication and “making” in education: The democratization of invention. In J. Walter-Herrmann &amp; C. </w:t>
      </w:r>
      <w:proofErr w:type="spellStart"/>
      <w:r w:rsidRPr="00F41723">
        <w:rPr>
          <w:rFonts w:eastAsia="Times New Roman" w:cstheme="minorHAnsi"/>
          <w:lang w:val="en-US" w:eastAsia="el-GR"/>
        </w:rPr>
        <w:t>Büching</w:t>
      </w:r>
      <w:proofErr w:type="spellEnd"/>
      <w:r w:rsidRPr="00F41723">
        <w:rPr>
          <w:rFonts w:eastAsia="Times New Roman" w:cstheme="minorHAnsi"/>
          <w:lang w:val="en-US" w:eastAsia="el-GR"/>
        </w:rPr>
        <w:t xml:space="preserve"> (Eds.), </w:t>
      </w:r>
      <w:proofErr w:type="spellStart"/>
      <w:r w:rsidRPr="00F41723">
        <w:rPr>
          <w:rFonts w:eastAsia="Times New Roman" w:cstheme="minorHAnsi"/>
          <w:i/>
          <w:iCs/>
          <w:lang w:val="en-US" w:eastAsia="el-GR"/>
        </w:rPr>
        <w:t>FabLabs</w:t>
      </w:r>
      <w:proofErr w:type="spellEnd"/>
      <w:r w:rsidRPr="00F41723">
        <w:rPr>
          <w:rFonts w:eastAsia="Times New Roman" w:cstheme="minorHAnsi"/>
          <w:i/>
          <w:iCs/>
          <w:lang w:val="en-US" w:eastAsia="el-GR"/>
        </w:rPr>
        <w:t>: Of machines, makers and inventors</w:t>
      </w:r>
      <w:r w:rsidRPr="00F41723">
        <w:rPr>
          <w:rFonts w:eastAsia="Times New Roman" w:cstheme="minorHAnsi"/>
          <w:lang w:val="en-US" w:eastAsia="el-GR"/>
        </w:rPr>
        <w:t xml:space="preserve"> (pp. 203-222). Transcript </w:t>
      </w:r>
      <w:proofErr w:type="spellStart"/>
      <w:r w:rsidRPr="00F41723">
        <w:rPr>
          <w:rFonts w:eastAsia="Times New Roman" w:cstheme="minorHAnsi"/>
          <w:lang w:val="en-US" w:eastAsia="el-GR"/>
        </w:rPr>
        <w:t>Verlag</w:t>
      </w:r>
      <w:proofErr w:type="spellEnd"/>
      <w:r w:rsidRPr="00F41723">
        <w:rPr>
          <w:rFonts w:eastAsia="Times New Roman" w:cstheme="minorHAnsi"/>
          <w:lang w:val="en-US" w:eastAsia="el-GR"/>
        </w:rPr>
        <w:t xml:space="preserve">.   </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Braun, V., &amp; Clarke, V. (2006). Using thematic analysis in psychology. </w:t>
      </w:r>
      <w:r w:rsidRPr="00F41723">
        <w:rPr>
          <w:rFonts w:eastAsia="Times New Roman" w:cstheme="minorHAnsi"/>
          <w:i/>
          <w:iCs/>
          <w:lang w:val="en-US" w:eastAsia="el-GR"/>
        </w:rPr>
        <w:t>Qualitative Research in Psychology</w:t>
      </w:r>
      <w:r w:rsidRPr="00F41723">
        <w:rPr>
          <w:rFonts w:eastAsia="Times New Roman" w:cstheme="minorHAnsi"/>
          <w:lang w:val="en-US" w:eastAsia="el-GR"/>
        </w:rPr>
        <w:t xml:space="preserve">, </w:t>
      </w:r>
      <w:r w:rsidRPr="00F41723">
        <w:rPr>
          <w:rFonts w:eastAsia="Times New Roman" w:cstheme="minorHAnsi"/>
          <w:i/>
          <w:iCs/>
          <w:lang w:val="en-US" w:eastAsia="el-GR"/>
        </w:rPr>
        <w:t>3</w:t>
      </w:r>
      <w:r w:rsidRPr="00F41723">
        <w:rPr>
          <w:rFonts w:eastAsia="Times New Roman" w:cstheme="minorHAnsi"/>
          <w:lang w:val="en-US" w:eastAsia="el-GR"/>
        </w:rPr>
        <w:t>(2), 77-101.</w:t>
      </w:r>
    </w:p>
    <w:p w:rsidR="00364500" w:rsidRPr="00AA1E14"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Crawford, K., </w:t>
      </w:r>
      <w:proofErr w:type="spellStart"/>
      <w:r w:rsidRPr="00F41723">
        <w:rPr>
          <w:rFonts w:eastAsia="Times New Roman" w:cstheme="minorHAnsi"/>
          <w:lang w:val="en-US" w:eastAsia="el-GR"/>
        </w:rPr>
        <w:t>Miltner</w:t>
      </w:r>
      <w:proofErr w:type="spellEnd"/>
      <w:r w:rsidRPr="00F41723">
        <w:rPr>
          <w:rFonts w:eastAsia="Times New Roman" w:cstheme="minorHAnsi"/>
          <w:lang w:val="en-US" w:eastAsia="el-GR"/>
        </w:rPr>
        <w:t xml:space="preserve">, K., &amp; Mukherjee, S. (2019). </w:t>
      </w:r>
      <w:r w:rsidRPr="00F41723">
        <w:rPr>
          <w:rFonts w:eastAsia="Times New Roman" w:cstheme="minorHAnsi"/>
          <w:i/>
          <w:iCs/>
          <w:lang w:val="en-US" w:eastAsia="el-GR"/>
        </w:rPr>
        <w:t>The AI Now Institute 2019 Report</w:t>
      </w:r>
      <w:r w:rsidRPr="00F41723">
        <w:rPr>
          <w:rFonts w:eastAsia="Times New Roman" w:cstheme="minorHAnsi"/>
          <w:lang w:val="en-US" w:eastAsia="el-GR"/>
        </w:rPr>
        <w:t xml:space="preserve">. </w:t>
      </w:r>
      <w:r w:rsidRPr="00AA1E14">
        <w:rPr>
          <w:rFonts w:eastAsia="Times New Roman" w:cstheme="minorHAnsi"/>
          <w:lang w:val="en-US" w:eastAsia="el-GR"/>
        </w:rPr>
        <w:t>AI Now Institute.</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Davis, F. D. (1989). Perceived usefulness, perceived ease of use, and user acceptance of information technology. </w:t>
      </w:r>
      <w:r w:rsidRPr="00F41723">
        <w:rPr>
          <w:rFonts w:eastAsia="Times New Roman" w:cstheme="minorHAnsi"/>
          <w:i/>
          <w:iCs/>
          <w:lang w:val="en-US" w:eastAsia="el-GR"/>
        </w:rPr>
        <w:t>MIS Quarterly</w:t>
      </w:r>
      <w:r w:rsidRPr="00F41723">
        <w:rPr>
          <w:rFonts w:eastAsia="Times New Roman" w:cstheme="minorHAnsi"/>
          <w:lang w:val="en-US" w:eastAsia="el-GR"/>
        </w:rPr>
        <w:t xml:space="preserve">, </w:t>
      </w:r>
      <w:r w:rsidRPr="00F41723">
        <w:rPr>
          <w:rFonts w:eastAsia="Times New Roman" w:cstheme="minorHAnsi"/>
          <w:i/>
          <w:iCs/>
          <w:lang w:val="en-US" w:eastAsia="el-GR"/>
        </w:rPr>
        <w:t>13</w:t>
      </w:r>
      <w:r w:rsidRPr="00F41723">
        <w:rPr>
          <w:rFonts w:eastAsia="Times New Roman" w:cstheme="minorHAnsi"/>
          <w:lang w:val="en-US" w:eastAsia="el-GR"/>
        </w:rPr>
        <w:t>(3), 319-340.</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Du </w:t>
      </w:r>
      <w:proofErr w:type="spellStart"/>
      <w:r w:rsidRPr="00F41723">
        <w:rPr>
          <w:rFonts w:eastAsia="Times New Roman" w:cstheme="minorHAnsi"/>
          <w:lang w:val="en-US" w:eastAsia="el-GR"/>
        </w:rPr>
        <w:t>Boulay</w:t>
      </w:r>
      <w:proofErr w:type="spellEnd"/>
      <w:r w:rsidRPr="00F41723">
        <w:rPr>
          <w:rFonts w:eastAsia="Times New Roman" w:cstheme="minorHAnsi"/>
          <w:lang w:val="en-US" w:eastAsia="el-GR"/>
        </w:rPr>
        <w:t xml:space="preserve">, B., </w:t>
      </w:r>
      <w:proofErr w:type="spellStart"/>
      <w:r w:rsidRPr="00F41723">
        <w:rPr>
          <w:rFonts w:eastAsia="Times New Roman" w:cstheme="minorHAnsi"/>
          <w:lang w:val="en-US" w:eastAsia="el-GR"/>
        </w:rPr>
        <w:t>Pardos</w:t>
      </w:r>
      <w:proofErr w:type="spellEnd"/>
      <w:r w:rsidRPr="00F41723">
        <w:rPr>
          <w:rFonts w:eastAsia="Times New Roman" w:cstheme="minorHAnsi"/>
          <w:lang w:val="en-US" w:eastAsia="el-GR"/>
        </w:rPr>
        <w:t xml:space="preserve">, Z. A., &amp; </w:t>
      </w:r>
      <w:proofErr w:type="spellStart"/>
      <w:r w:rsidRPr="00F41723">
        <w:rPr>
          <w:rFonts w:eastAsia="Times New Roman" w:cstheme="minorHAnsi"/>
          <w:lang w:val="en-US" w:eastAsia="el-GR"/>
        </w:rPr>
        <w:t>VanLehn</w:t>
      </w:r>
      <w:proofErr w:type="spellEnd"/>
      <w:r w:rsidRPr="00F41723">
        <w:rPr>
          <w:rFonts w:eastAsia="Times New Roman" w:cstheme="minorHAnsi"/>
          <w:lang w:val="en-US" w:eastAsia="el-GR"/>
        </w:rPr>
        <w:t xml:space="preserve">, K. (2018). </w:t>
      </w:r>
      <w:r w:rsidRPr="00F41723">
        <w:rPr>
          <w:rFonts w:eastAsia="Times New Roman" w:cstheme="minorHAnsi"/>
          <w:i/>
          <w:iCs/>
          <w:lang w:val="en-US" w:eastAsia="el-GR"/>
        </w:rPr>
        <w:t>Artificial intelligence in education</w:t>
      </w:r>
      <w:r w:rsidRPr="00F41723">
        <w:rPr>
          <w:rFonts w:eastAsia="Times New Roman" w:cstheme="minorHAnsi"/>
          <w:lang w:val="en-US" w:eastAsia="el-GR"/>
        </w:rPr>
        <w:t>. The MIT Press.</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Ertmer</w:t>
      </w:r>
      <w:proofErr w:type="spellEnd"/>
      <w:r w:rsidRPr="00F41723">
        <w:rPr>
          <w:rFonts w:eastAsia="Times New Roman" w:cstheme="minorHAnsi"/>
          <w:lang w:val="en-US" w:eastAsia="el-GR"/>
        </w:rPr>
        <w:t xml:space="preserve">, P. A., &amp; </w:t>
      </w:r>
      <w:proofErr w:type="spellStart"/>
      <w:r w:rsidRPr="00F41723">
        <w:rPr>
          <w:rFonts w:eastAsia="Times New Roman" w:cstheme="minorHAnsi"/>
          <w:lang w:val="en-US" w:eastAsia="el-GR"/>
        </w:rPr>
        <w:t>Ottenbreit-Leftwich</w:t>
      </w:r>
      <w:proofErr w:type="spellEnd"/>
      <w:r w:rsidRPr="00F41723">
        <w:rPr>
          <w:rFonts w:eastAsia="Times New Roman" w:cstheme="minorHAnsi"/>
          <w:lang w:val="en-US" w:eastAsia="el-GR"/>
        </w:rPr>
        <w:t xml:space="preserve">, A. T. (2010). Teacher technology change: How knowledge, confidence, beliefs, and culture intersect. </w:t>
      </w:r>
      <w:r w:rsidRPr="00F41723">
        <w:rPr>
          <w:rFonts w:eastAsia="Times New Roman" w:cstheme="minorHAnsi"/>
          <w:i/>
          <w:iCs/>
          <w:lang w:val="en-US" w:eastAsia="el-GR"/>
        </w:rPr>
        <w:t>Journal of Research on Technology in Education</w:t>
      </w:r>
      <w:r w:rsidRPr="00F41723">
        <w:rPr>
          <w:rFonts w:eastAsia="Times New Roman" w:cstheme="minorHAnsi"/>
          <w:lang w:val="en-US" w:eastAsia="el-GR"/>
        </w:rPr>
        <w:t xml:space="preserve">, </w:t>
      </w:r>
      <w:r w:rsidRPr="00F41723">
        <w:rPr>
          <w:rFonts w:eastAsia="Times New Roman" w:cstheme="minorHAnsi"/>
          <w:i/>
          <w:iCs/>
          <w:lang w:val="en-US" w:eastAsia="el-GR"/>
        </w:rPr>
        <w:t>42</w:t>
      </w:r>
      <w:r w:rsidRPr="00F41723">
        <w:rPr>
          <w:rFonts w:eastAsia="Times New Roman" w:cstheme="minorHAnsi"/>
          <w:lang w:val="en-US" w:eastAsia="el-GR"/>
        </w:rPr>
        <w:t xml:space="preserve">(3), 255-284.   </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European Agency for Special Needs and Inclusive Education. (2019). </w:t>
      </w:r>
      <w:proofErr w:type="gramStart"/>
      <w:r w:rsidRPr="00F41723">
        <w:rPr>
          <w:rFonts w:eastAsia="Times New Roman" w:cstheme="minorHAnsi"/>
          <w:i/>
          <w:iCs/>
          <w:lang w:val="en-US" w:eastAsia="el-GR"/>
        </w:rPr>
        <w:t>The</w:t>
      </w:r>
      <w:proofErr w:type="gramEnd"/>
      <w:r w:rsidRPr="00F41723">
        <w:rPr>
          <w:rFonts w:eastAsia="Times New Roman" w:cstheme="minorHAnsi"/>
          <w:i/>
          <w:iCs/>
          <w:lang w:val="en-US" w:eastAsia="el-GR"/>
        </w:rPr>
        <w:t xml:space="preserve"> use of ICT in inclusive education – a literature review</w:t>
      </w:r>
      <w:r w:rsidRPr="00F41723">
        <w:rPr>
          <w:rFonts w:eastAsia="Times New Roman" w:cstheme="minorHAnsi"/>
          <w:lang w:val="en-US" w:eastAsia="el-GR"/>
        </w:rPr>
        <w:t>. Publications Office of the European Union.</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European Commission. (2018). </w:t>
      </w:r>
      <w:r w:rsidRPr="00F41723">
        <w:rPr>
          <w:rFonts w:eastAsia="Times New Roman" w:cstheme="minorHAnsi"/>
          <w:i/>
          <w:iCs/>
          <w:lang w:val="en-US" w:eastAsia="el-GR"/>
        </w:rPr>
        <w:t>Communication on Artificial Intelligence for Europe</w:t>
      </w:r>
      <w:r w:rsidRPr="00F41723">
        <w:rPr>
          <w:rFonts w:eastAsia="Times New Roman" w:cstheme="minorHAnsi"/>
          <w:lang w:val="en-US" w:eastAsia="el-GR"/>
        </w:rPr>
        <w:t xml:space="preserve">. </w:t>
      </w:r>
      <w:proofErr w:type="gramStart"/>
      <w:r w:rsidRPr="00F41723">
        <w:rPr>
          <w:rFonts w:eastAsia="Times New Roman" w:cstheme="minorHAnsi"/>
          <w:lang w:val="en-US" w:eastAsia="el-GR"/>
        </w:rPr>
        <w:t>COM(</w:t>
      </w:r>
      <w:proofErr w:type="gramEnd"/>
      <w:r w:rsidRPr="00F41723">
        <w:rPr>
          <w:rFonts w:eastAsia="Times New Roman" w:cstheme="minorHAnsi"/>
          <w:lang w:val="en-US" w:eastAsia="el-GR"/>
        </w:rPr>
        <w:t>2018) 237 final.</w:t>
      </w:r>
    </w:p>
    <w:p w:rsidR="00364500" w:rsidRPr="00F41723" w:rsidRDefault="00364500" w:rsidP="00E27EFE">
      <w:pPr>
        <w:spacing w:after="0" w:line="240" w:lineRule="auto"/>
        <w:ind w:firstLine="284"/>
        <w:jc w:val="both"/>
        <w:rPr>
          <w:rFonts w:eastAsia="Times New Roman" w:cstheme="minorHAnsi"/>
          <w:lang w:eastAsia="el-GR"/>
        </w:rPr>
      </w:pPr>
      <w:r w:rsidRPr="00F41723">
        <w:rPr>
          <w:rFonts w:eastAsia="Times New Roman" w:cstheme="minorHAnsi"/>
          <w:lang w:val="en-US" w:eastAsia="el-GR"/>
        </w:rPr>
        <w:t xml:space="preserve">European Commission. (2022). </w:t>
      </w:r>
      <w:r w:rsidRPr="00F41723">
        <w:rPr>
          <w:rFonts w:eastAsia="Times New Roman" w:cstheme="minorHAnsi"/>
          <w:i/>
          <w:iCs/>
          <w:lang w:val="en-US" w:eastAsia="el-GR"/>
        </w:rPr>
        <w:t>A guide for Artificial Intelligence in Education</w:t>
      </w:r>
      <w:r w:rsidRPr="00F41723">
        <w:rPr>
          <w:rFonts w:eastAsia="Times New Roman" w:cstheme="minorHAnsi"/>
          <w:lang w:val="en-US" w:eastAsia="el-GR"/>
        </w:rPr>
        <w:t xml:space="preserve">. </w:t>
      </w:r>
      <w:proofErr w:type="spellStart"/>
      <w:r w:rsidRPr="00F41723">
        <w:rPr>
          <w:rFonts w:eastAsia="Times New Roman" w:cstheme="minorHAnsi"/>
          <w:lang w:eastAsia="el-GR"/>
        </w:rPr>
        <w:t>Publications</w:t>
      </w:r>
      <w:proofErr w:type="spellEnd"/>
      <w:r w:rsidRPr="00F41723">
        <w:rPr>
          <w:rFonts w:eastAsia="Times New Roman" w:cstheme="minorHAnsi"/>
          <w:lang w:eastAsia="el-GR"/>
        </w:rPr>
        <w:t xml:space="preserve"> Office of the European Union.</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Fullan</w:t>
      </w:r>
      <w:proofErr w:type="spellEnd"/>
      <w:r w:rsidRPr="00F41723">
        <w:rPr>
          <w:rFonts w:eastAsia="Times New Roman" w:cstheme="minorHAnsi"/>
          <w:lang w:val="en-US" w:eastAsia="el-GR"/>
        </w:rPr>
        <w:t xml:space="preserve">, M. (2016). </w:t>
      </w:r>
      <w:r w:rsidRPr="00F41723">
        <w:rPr>
          <w:rFonts w:eastAsia="Times New Roman" w:cstheme="minorHAnsi"/>
          <w:i/>
          <w:iCs/>
          <w:lang w:val="en-US" w:eastAsia="el-GR"/>
        </w:rPr>
        <w:t>The new meaning of educational change</w:t>
      </w:r>
      <w:r w:rsidRPr="00F41723">
        <w:rPr>
          <w:rFonts w:eastAsia="Times New Roman" w:cstheme="minorHAnsi"/>
          <w:lang w:val="en-US" w:eastAsia="el-GR"/>
        </w:rPr>
        <w:t xml:space="preserve"> (5th </w:t>
      </w:r>
      <w:proofErr w:type="gramStart"/>
      <w:r w:rsidRPr="00F41723">
        <w:rPr>
          <w:rFonts w:eastAsia="Times New Roman" w:cstheme="minorHAnsi"/>
          <w:lang w:val="en-US" w:eastAsia="el-GR"/>
        </w:rPr>
        <w:t>ed</w:t>
      </w:r>
      <w:proofErr w:type="gramEnd"/>
      <w:r w:rsidRPr="00F41723">
        <w:rPr>
          <w:rFonts w:eastAsia="Times New Roman" w:cstheme="minorHAnsi"/>
          <w:lang w:val="en-US" w:eastAsia="el-GR"/>
        </w:rPr>
        <w:t>.). Teachers College Press.</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Holden, R. J., &amp; Rada, R. (2011). Understanding the influence of perceived usefulness and perceived ease of use on health information technology acceptance: An analysis of the Technology Acceptance Model. </w:t>
      </w:r>
      <w:r w:rsidRPr="00F41723">
        <w:rPr>
          <w:rFonts w:eastAsia="Times New Roman" w:cstheme="minorHAnsi"/>
          <w:i/>
          <w:iCs/>
          <w:lang w:val="en-US" w:eastAsia="el-GR"/>
        </w:rPr>
        <w:t>Journal of Biomedical Informatics</w:t>
      </w:r>
      <w:r w:rsidRPr="00F41723">
        <w:rPr>
          <w:rFonts w:eastAsia="Times New Roman" w:cstheme="minorHAnsi"/>
          <w:lang w:val="en-US" w:eastAsia="el-GR"/>
        </w:rPr>
        <w:t xml:space="preserve">, </w:t>
      </w:r>
      <w:r w:rsidRPr="00F41723">
        <w:rPr>
          <w:rFonts w:eastAsia="Times New Roman" w:cstheme="minorHAnsi"/>
          <w:i/>
          <w:iCs/>
          <w:lang w:val="en-US" w:eastAsia="el-GR"/>
        </w:rPr>
        <w:t>44</w:t>
      </w:r>
      <w:r w:rsidRPr="00F41723">
        <w:rPr>
          <w:rFonts w:eastAsia="Times New Roman" w:cstheme="minorHAnsi"/>
          <w:lang w:val="en-US" w:eastAsia="el-GR"/>
        </w:rPr>
        <w:t>(5), 815-826.</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Holmes, W., </w:t>
      </w:r>
      <w:proofErr w:type="spellStart"/>
      <w:r w:rsidRPr="00F41723">
        <w:rPr>
          <w:rFonts w:eastAsia="Times New Roman" w:cstheme="minorHAnsi"/>
          <w:lang w:val="en-US" w:eastAsia="el-GR"/>
        </w:rPr>
        <w:t>Persson</w:t>
      </w:r>
      <w:proofErr w:type="spellEnd"/>
      <w:r w:rsidRPr="00F41723">
        <w:rPr>
          <w:rFonts w:eastAsia="Times New Roman" w:cstheme="minorHAnsi"/>
          <w:lang w:val="en-US" w:eastAsia="el-GR"/>
        </w:rPr>
        <w:t>, J., &amp; Al-</w:t>
      </w:r>
      <w:proofErr w:type="spellStart"/>
      <w:r w:rsidRPr="00F41723">
        <w:rPr>
          <w:rFonts w:eastAsia="Times New Roman" w:cstheme="minorHAnsi"/>
          <w:lang w:val="en-US" w:eastAsia="el-GR"/>
        </w:rPr>
        <w:t>Wafi</w:t>
      </w:r>
      <w:proofErr w:type="spellEnd"/>
      <w:r w:rsidRPr="00F41723">
        <w:rPr>
          <w:rFonts w:eastAsia="Times New Roman" w:cstheme="minorHAnsi"/>
          <w:lang w:val="en-US" w:eastAsia="el-GR"/>
        </w:rPr>
        <w:t xml:space="preserve">, R. (2021). </w:t>
      </w:r>
      <w:r w:rsidRPr="00F41723">
        <w:rPr>
          <w:rFonts w:eastAsia="Times New Roman" w:cstheme="minorHAnsi"/>
          <w:i/>
          <w:iCs/>
          <w:lang w:val="en-US" w:eastAsia="el-GR"/>
        </w:rPr>
        <w:t>Artificial intelligence in education: Teachers and AI</w:t>
      </w:r>
      <w:r w:rsidRPr="00F41723">
        <w:rPr>
          <w:rFonts w:eastAsia="Times New Roman" w:cstheme="minorHAnsi"/>
          <w:lang w:val="en-US" w:eastAsia="el-GR"/>
        </w:rPr>
        <w:t>. UNESCO.</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Koehler, M. J., &amp; Mishra, P. (2009). What is technological pedagogical content knowledge (TPACK)? </w:t>
      </w:r>
      <w:r w:rsidRPr="00F41723">
        <w:rPr>
          <w:rFonts w:eastAsia="Times New Roman" w:cstheme="minorHAnsi"/>
          <w:i/>
          <w:iCs/>
          <w:lang w:val="en-US" w:eastAsia="el-GR"/>
        </w:rPr>
        <w:t>Contemporary Issues in Technology and Teacher Education</w:t>
      </w:r>
      <w:r w:rsidRPr="00F41723">
        <w:rPr>
          <w:rFonts w:eastAsia="Times New Roman" w:cstheme="minorHAnsi"/>
          <w:lang w:val="en-US" w:eastAsia="el-GR"/>
        </w:rPr>
        <w:t xml:space="preserve">, </w:t>
      </w:r>
      <w:r w:rsidRPr="00F41723">
        <w:rPr>
          <w:rFonts w:eastAsia="Times New Roman" w:cstheme="minorHAnsi"/>
          <w:i/>
          <w:iCs/>
          <w:lang w:val="en-US" w:eastAsia="el-GR"/>
        </w:rPr>
        <w:t>9</w:t>
      </w:r>
      <w:r w:rsidRPr="00F41723">
        <w:rPr>
          <w:rFonts w:eastAsia="Times New Roman" w:cstheme="minorHAnsi"/>
          <w:lang w:val="en-US" w:eastAsia="el-GR"/>
        </w:rPr>
        <w:t>(1), 60-70.</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Luckin</w:t>
      </w:r>
      <w:proofErr w:type="spellEnd"/>
      <w:r w:rsidRPr="00F41723">
        <w:rPr>
          <w:rFonts w:eastAsia="Times New Roman" w:cstheme="minorHAnsi"/>
          <w:lang w:val="en-US" w:eastAsia="el-GR"/>
        </w:rPr>
        <w:t xml:space="preserve">, R., Holmes, W., Griffiths, M., &amp; </w:t>
      </w:r>
      <w:proofErr w:type="spellStart"/>
      <w:r w:rsidRPr="00F41723">
        <w:rPr>
          <w:rFonts w:eastAsia="Times New Roman" w:cstheme="minorHAnsi"/>
          <w:lang w:val="en-US" w:eastAsia="el-GR"/>
        </w:rPr>
        <w:t>Forcier</w:t>
      </w:r>
      <w:proofErr w:type="spellEnd"/>
      <w:r w:rsidRPr="00F41723">
        <w:rPr>
          <w:rFonts w:eastAsia="Times New Roman" w:cstheme="minorHAnsi"/>
          <w:lang w:val="en-US" w:eastAsia="el-GR"/>
        </w:rPr>
        <w:t xml:space="preserve">, B. (2016). </w:t>
      </w:r>
      <w:r w:rsidRPr="00F41723">
        <w:rPr>
          <w:rFonts w:eastAsia="Times New Roman" w:cstheme="minorHAnsi"/>
          <w:i/>
          <w:iCs/>
          <w:lang w:val="en-US" w:eastAsia="el-GR"/>
        </w:rPr>
        <w:t>Intelligence unleashed: An argument for AI in education</w:t>
      </w:r>
      <w:r w:rsidRPr="00F41723">
        <w:rPr>
          <w:rFonts w:eastAsia="Times New Roman" w:cstheme="minorHAnsi"/>
          <w:lang w:val="en-US" w:eastAsia="el-GR"/>
        </w:rPr>
        <w:t xml:space="preserve">. Pearson Education.   </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Mishra, P., &amp; Koehler, M. J. (2006). Technological pedagogical content knowledge: A framework for teacher knowledge. </w:t>
      </w:r>
      <w:r w:rsidRPr="00F41723">
        <w:rPr>
          <w:rFonts w:eastAsia="Times New Roman" w:cstheme="minorHAnsi"/>
          <w:i/>
          <w:iCs/>
          <w:lang w:val="en-US" w:eastAsia="el-GR"/>
        </w:rPr>
        <w:t>Teachers College Record</w:t>
      </w:r>
      <w:r w:rsidRPr="00F41723">
        <w:rPr>
          <w:rFonts w:eastAsia="Times New Roman" w:cstheme="minorHAnsi"/>
          <w:lang w:val="en-US" w:eastAsia="el-GR"/>
        </w:rPr>
        <w:t xml:space="preserve">, </w:t>
      </w:r>
      <w:r w:rsidRPr="00F41723">
        <w:rPr>
          <w:rFonts w:eastAsia="Times New Roman" w:cstheme="minorHAnsi"/>
          <w:i/>
          <w:iCs/>
          <w:lang w:val="en-US" w:eastAsia="el-GR"/>
        </w:rPr>
        <w:t>108</w:t>
      </w:r>
      <w:r w:rsidRPr="00F41723">
        <w:rPr>
          <w:rFonts w:eastAsia="Times New Roman" w:cstheme="minorHAnsi"/>
          <w:lang w:val="en-US" w:eastAsia="el-GR"/>
        </w:rPr>
        <w:t>(6), 1017-1054.</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Moore, G. A. (1991). </w:t>
      </w:r>
      <w:r w:rsidRPr="00F41723">
        <w:rPr>
          <w:rFonts w:eastAsia="Times New Roman" w:cstheme="minorHAnsi"/>
          <w:i/>
          <w:iCs/>
          <w:lang w:val="en-US" w:eastAsia="el-GR"/>
        </w:rPr>
        <w:t>Crossing the chasm: Marketing and selling high-tech products to mainstream customers</w:t>
      </w:r>
      <w:r w:rsidRPr="00F41723">
        <w:rPr>
          <w:rFonts w:eastAsia="Times New Roman" w:cstheme="minorHAnsi"/>
          <w:lang w:val="en-US" w:eastAsia="el-GR"/>
        </w:rPr>
        <w:t xml:space="preserve">. </w:t>
      </w:r>
      <w:proofErr w:type="spellStart"/>
      <w:r w:rsidRPr="00F41723">
        <w:rPr>
          <w:rFonts w:eastAsia="Times New Roman" w:cstheme="minorHAnsi"/>
          <w:lang w:val="en-US" w:eastAsia="el-GR"/>
        </w:rPr>
        <w:t>HarperBusiness</w:t>
      </w:r>
      <w:proofErr w:type="spellEnd"/>
      <w:r w:rsidRPr="00F41723">
        <w:rPr>
          <w:rFonts w:eastAsia="Times New Roman" w:cstheme="minorHAnsi"/>
          <w:lang w:val="en-US" w:eastAsia="el-GR"/>
        </w:rPr>
        <w:t>.</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Ng, D., &amp; Ferrara, L. (2022). </w:t>
      </w:r>
      <w:r w:rsidRPr="00F41723">
        <w:rPr>
          <w:rFonts w:eastAsia="Times New Roman" w:cstheme="minorHAnsi"/>
          <w:i/>
          <w:iCs/>
          <w:lang w:val="en-US" w:eastAsia="el-GR"/>
        </w:rPr>
        <w:t>Artificial intelligence in education: A review of opportunities and challenges for teachers</w:t>
      </w:r>
      <w:r w:rsidRPr="00F41723">
        <w:rPr>
          <w:rFonts w:eastAsia="Times New Roman" w:cstheme="minorHAnsi"/>
          <w:lang w:val="en-US" w:eastAsia="el-GR"/>
        </w:rPr>
        <w:t>. British Educational Research Association.</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OECD (2021). </w:t>
      </w:r>
      <w:r w:rsidRPr="00F41723">
        <w:rPr>
          <w:rFonts w:eastAsia="Times New Roman" w:cstheme="minorHAnsi"/>
          <w:i/>
          <w:iCs/>
          <w:lang w:val="en-US" w:eastAsia="el-GR"/>
        </w:rPr>
        <w:t>The future of education and skills: Education 2030</w:t>
      </w:r>
      <w:r w:rsidRPr="00F41723">
        <w:rPr>
          <w:rFonts w:eastAsia="Times New Roman" w:cstheme="minorHAnsi"/>
          <w:lang w:val="en-US" w:eastAsia="el-GR"/>
        </w:rPr>
        <w:t>. OECD Publishing.</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Popenici</w:t>
      </w:r>
      <w:proofErr w:type="spellEnd"/>
      <w:r w:rsidRPr="00F41723">
        <w:rPr>
          <w:rFonts w:eastAsia="Times New Roman" w:cstheme="minorHAnsi"/>
          <w:lang w:val="en-US" w:eastAsia="el-GR"/>
        </w:rPr>
        <w:t xml:space="preserve">, S. A. D., &amp; Kerr, S. (2017). Exploring the impact of artificial intelligence on teaching and learning in higher education. </w:t>
      </w:r>
      <w:r w:rsidRPr="00F41723">
        <w:rPr>
          <w:rFonts w:eastAsia="Times New Roman" w:cstheme="minorHAnsi"/>
          <w:i/>
          <w:iCs/>
          <w:lang w:val="en-US" w:eastAsia="el-GR"/>
        </w:rPr>
        <w:t>Research and Practice in Technology Enhanced Learning</w:t>
      </w:r>
      <w:r w:rsidRPr="00F41723">
        <w:rPr>
          <w:rFonts w:eastAsia="Times New Roman" w:cstheme="minorHAnsi"/>
          <w:lang w:val="en-US" w:eastAsia="el-GR"/>
        </w:rPr>
        <w:t xml:space="preserve">, </w:t>
      </w:r>
      <w:r w:rsidRPr="00F41723">
        <w:rPr>
          <w:rFonts w:eastAsia="Times New Roman" w:cstheme="minorHAnsi"/>
          <w:i/>
          <w:iCs/>
          <w:lang w:val="en-US" w:eastAsia="el-GR"/>
        </w:rPr>
        <w:t>12</w:t>
      </w:r>
      <w:r w:rsidRPr="00F41723">
        <w:rPr>
          <w:rFonts w:eastAsia="Times New Roman" w:cstheme="minorHAnsi"/>
          <w:lang w:val="en-US" w:eastAsia="el-GR"/>
        </w:rPr>
        <w:t xml:space="preserve">(1), 22.   </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Rogers, E. M. (2003). </w:t>
      </w:r>
      <w:r w:rsidRPr="00F41723">
        <w:rPr>
          <w:rFonts w:eastAsia="Times New Roman" w:cstheme="minorHAnsi"/>
          <w:i/>
          <w:iCs/>
          <w:lang w:val="en-US" w:eastAsia="el-GR"/>
        </w:rPr>
        <w:t>Diffusion of innovations</w:t>
      </w:r>
      <w:r w:rsidRPr="00F41723">
        <w:rPr>
          <w:rFonts w:eastAsia="Times New Roman" w:cstheme="minorHAnsi"/>
          <w:lang w:val="en-US" w:eastAsia="el-GR"/>
        </w:rPr>
        <w:t xml:space="preserve"> (5th </w:t>
      </w:r>
      <w:proofErr w:type="gramStart"/>
      <w:r w:rsidRPr="00F41723">
        <w:rPr>
          <w:rFonts w:eastAsia="Times New Roman" w:cstheme="minorHAnsi"/>
          <w:lang w:val="en-US" w:eastAsia="el-GR"/>
        </w:rPr>
        <w:t>ed</w:t>
      </w:r>
      <w:proofErr w:type="gramEnd"/>
      <w:r w:rsidRPr="00F41723">
        <w:rPr>
          <w:rFonts w:eastAsia="Times New Roman" w:cstheme="minorHAnsi"/>
          <w:lang w:val="en-US" w:eastAsia="el-GR"/>
        </w:rPr>
        <w:t>.). Free Press.</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lastRenderedPageBreak/>
        <w:t xml:space="preserve">Roll, I., &amp; Wylie, R. (2016). Evolution and revolution in artificial intelligence in education. </w:t>
      </w:r>
      <w:r w:rsidRPr="00F41723">
        <w:rPr>
          <w:rFonts w:eastAsia="Times New Roman" w:cstheme="minorHAnsi"/>
          <w:i/>
          <w:iCs/>
          <w:lang w:val="en-US" w:eastAsia="el-GR"/>
        </w:rPr>
        <w:t>International Journal of Artificial Intelligence in Education</w:t>
      </w:r>
      <w:r w:rsidRPr="00F41723">
        <w:rPr>
          <w:rFonts w:eastAsia="Times New Roman" w:cstheme="minorHAnsi"/>
          <w:lang w:val="en-US" w:eastAsia="el-GR"/>
        </w:rPr>
        <w:t xml:space="preserve">, </w:t>
      </w:r>
      <w:r w:rsidRPr="00F41723">
        <w:rPr>
          <w:rFonts w:eastAsia="Times New Roman" w:cstheme="minorHAnsi"/>
          <w:i/>
          <w:iCs/>
          <w:lang w:val="en-US" w:eastAsia="el-GR"/>
        </w:rPr>
        <w:t>26</w:t>
      </w:r>
      <w:r w:rsidRPr="00F41723">
        <w:rPr>
          <w:rFonts w:eastAsia="Times New Roman" w:cstheme="minorHAnsi"/>
          <w:lang w:val="en-US" w:eastAsia="el-GR"/>
        </w:rPr>
        <w:t xml:space="preserve">(2), 582-599.   </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Selwyn, N. (2019). </w:t>
      </w:r>
      <w:r w:rsidRPr="00F41723">
        <w:rPr>
          <w:rFonts w:eastAsia="Times New Roman" w:cstheme="minorHAnsi"/>
          <w:i/>
          <w:iCs/>
          <w:lang w:val="en-US" w:eastAsia="el-GR"/>
        </w:rPr>
        <w:t>The digital academic: Critical perspectives on digital technologies in higher education</w:t>
      </w:r>
      <w:r w:rsidRPr="00F41723">
        <w:rPr>
          <w:rFonts w:eastAsia="Times New Roman" w:cstheme="minorHAnsi"/>
          <w:lang w:val="en-US" w:eastAsia="el-GR"/>
        </w:rPr>
        <w:t>. Routledge.</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Siu, K. O., &amp; Lei, K. C. (2023). Teachers' perceptions and readiness for artificial intelligence in education: A systematic literature review. </w:t>
      </w:r>
      <w:r w:rsidRPr="00F41723">
        <w:rPr>
          <w:rFonts w:eastAsia="Times New Roman" w:cstheme="minorHAnsi"/>
          <w:i/>
          <w:iCs/>
          <w:lang w:val="en-US" w:eastAsia="el-GR"/>
        </w:rPr>
        <w:t>Education and Information Technologies</w:t>
      </w:r>
      <w:r w:rsidRPr="00F41723">
        <w:rPr>
          <w:rFonts w:eastAsia="Times New Roman" w:cstheme="minorHAnsi"/>
          <w:lang w:val="en-US" w:eastAsia="el-GR"/>
        </w:rPr>
        <w:t xml:space="preserve">, </w:t>
      </w:r>
      <w:r w:rsidRPr="00F41723">
        <w:rPr>
          <w:rFonts w:eastAsia="Times New Roman" w:cstheme="minorHAnsi"/>
          <w:i/>
          <w:iCs/>
          <w:lang w:val="en-US" w:eastAsia="el-GR"/>
        </w:rPr>
        <w:t>28</w:t>
      </w:r>
      <w:r w:rsidRPr="00F41723">
        <w:rPr>
          <w:rFonts w:eastAsia="Times New Roman" w:cstheme="minorHAnsi"/>
          <w:lang w:val="en-US" w:eastAsia="el-GR"/>
        </w:rPr>
        <w:t>(3), 3293-3316.</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Tuomi</w:t>
      </w:r>
      <w:proofErr w:type="spellEnd"/>
      <w:r w:rsidRPr="00F41723">
        <w:rPr>
          <w:rFonts w:eastAsia="Times New Roman" w:cstheme="minorHAnsi"/>
          <w:lang w:val="en-US" w:eastAsia="el-GR"/>
        </w:rPr>
        <w:t xml:space="preserve">, I. (2018). The impact of artificial intelligence on learning, teaching, and education: Policies for the future. </w:t>
      </w:r>
      <w:r w:rsidRPr="00F41723">
        <w:rPr>
          <w:rFonts w:eastAsia="Times New Roman" w:cstheme="minorHAnsi"/>
          <w:i/>
          <w:iCs/>
          <w:lang w:val="en-US" w:eastAsia="el-GR"/>
        </w:rPr>
        <w:t>European Commission Joint Research Centre</w:t>
      </w:r>
      <w:r w:rsidRPr="00F41723">
        <w:rPr>
          <w:rFonts w:eastAsia="Times New Roman" w:cstheme="minorHAnsi"/>
          <w:lang w:val="en-US" w:eastAsia="el-GR"/>
        </w:rPr>
        <w:t xml:space="preserve">.   </w:t>
      </w:r>
    </w:p>
    <w:p w:rsidR="00364500" w:rsidRPr="00F41723" w:rsidRDefault="00364500" w:rsidP="00E27EFE">
      <w:pPr>
        <w:spacing w:after="0" w:line="240" w:lineRule="auto"/>
        <w:ind w:firstLine="284"/>
        <w:jc w:val="both"/>
        <w:rPr>
          <w:rFonts w:eastAsia="Times New Roman" w:cstheme="minorHAnsi"/>
          <w:lang w:val="en-US" w:eastAsia="el-GR"/>
        </w:rPr>
      </w:pPr>
      <w:r w:rsidRPr="00F41723">
        <w:rPr>
          <w:rFonts w:eastAsia="Times New Roman" w:cstheme="minorHAnsi"/>
          <w:lang w:val="en-US" w:eastAsia="el-GR"/>
        </w:rPr>
        <w:t xml:space="preserve">UNESCO. (2021). </w:t>
      </w:r>
      <w:r w:rsidRPr="00F41723">
        <w:rPr>
          <w:rFonts w:eastAsia="Times New Roman" w:cstheme="minorHAnsi"/>
          <w:i/>
          <w:iCs/>
          <w:lang w:val="en-US" w:eastAsia="el-GR"/>
        </w:rPr>
        <w:t>AI and education: Guidance for policy-makers</w:t>
      </w:r>
      <w:r w:rsidRPr="00F41723">
        <w:rPr>
          <w:rFonts w:eastAsia="Times New Roman" w:cstheme="minorHAnsi"/>
          <w:lang w:val="en-US" w:eastAsia="el-GR"/>
        </w:rPr>
        <w:t>. UNESCO Publishing.</w:t>
      </w:r>
    </w:p>
    <w:p w:rsidR="00364500" w:rsidRPr="00F41723" w:rsidRDefault="00364500" w:rsidP="00E27EFE">
      <w:pPr>
        <w:spacing w:after="0" w:line="240" w:lineRule="auto"/>
        <w:ind w:firstLine="284"/>
        <w:jc w:val="both"/>
        <w:rPr>
          <w:rFonts w:eastAsia="Times New Roman" w:cstheme="minorHAnsi"/>
          <w:lang w:val="en-US" w:eastAsia="el-GR"/>
        </w:rPr>
      </w:pPr>
      <w:proofErr w:type="spellStart"/>
      <w:r w:rsidRPr="00F41723">
        <w:rPr>
          <w:rFonts w:eastAsia="Times New Roman" w:cstheme="minorHAnsi"/>
          <w:lang w:val="en-US" w:eastAsia="el-GR"/>
        </w:rPr>
        <w:t>Voogt</w:t>
      </w:r>
      <w:proofErr w:type="spellEnd"/>
      <w:r w:rsidRPr="00F41723">
        <w:rPr>
          <w:rFonts w:eastAsia="Times New Roman" w:cstheme="minorHAnsi"/>
          <w:lang w:val="en-US" w:eastAsia="el-GR"/>
        </w:rPr>
        <w:t xml:space="preserve">, J., </w:t>
      </w:r>
      <w:proofErr w:type="spellStart"/>
      <w:r w:rsidRPr="00F41723">
        <w:rPr>
          <w:rFonts w:eastAsia="Times New Roman" w:cstheme="minorHAnsi"/>
          <w:lang w:val="en-US" w:eastAsia="el-GR"/>
        </w:rPr>
        <w:t>Tondeur</w:t>
      </w:r>
      <w:proofErr w:type="spellEnd"/>
      <w:r w:rsidRPr="00F41723">
        <w:rPr>
          <w:rFonts w:eastAsia="Times New Roman" w:cstheme="minorHAnsi"/>
          <w:lang w:val="en-US" w:eastAsia="el-GR"/>
        </w:rPr>
        <w:t xml:space="preserve">, J., van </w:t>
      </w:r>
      <w:proofErr w:type="spellStart"/>
      <w:r w:rsidRPr="00F41723">
        <w:rPr>
          <w:rFonts w:eastAsia="Times New Roman" w:cstheme="minorHAnsi"/>
          <w:lang w:val="en-US" w:eastAsia="el-GR"/>
        </w:rPr>
        <w:t>Braak</w:t>
      </w:r>
      <w:proofErr w:type="spellEnd"/>
      <w:r w:rsidRPr="00F41723">
        <w:rPr>
          <w:rFonts w:eastAsia="Times New Roman" w:cstheme="minorHAnsi"/>
          <w:lang w:val="en-US" w:eastAsia="el-GR"/>
        </w:rPr>
        <w:t xml:space="preserve">, J., &amp; Van den Berg, B. (2013). Teacher development for technology integration in education: A review of qualitative research. </w:t>
      </w:r>
      <w:r w:rsidRPr="00F41723">
        <w:rPr>
          <w:rFonts w:eastAsia="Times New Roman" w:cstheme="minorHAnsi"/>
          <w:i/>
          <w:iCs/>
          <w:lang w:val="en-US" w:eastAsia="el-GR"/>
        </w:rPr>
        <w:t>Computers &amp; Education</w:t>
      </w:r>
      <w:r w:rsidRPr="00F41723">
        <w:rPr>
          <w:rFonts w:eastAsia="Times New Roman" w:cstheme="minorHAnsi"/>
          <w:lang w:val="en-US" w:eastAsia="el-GR"/>
        </w:rPr>
        <w:t xml:space="preserve">, </w:t>
      </w:r>
      <w:r w:rsidRPr="00F41723">
        <w:rPr>
          <w:rFonts w:eastAsia="Times New Roman" w:cstheme="minorHAnsi"/>
          <w:i/>
          <w:iCs/>
          <w:lang w:val="en-US" w:eastAsia="el-GR"/>
        </w:rPr>
        <w:t>65</w:t>
      </w:r>
      <w:r w:rsidRPr="00F41723">
        <w:rPr>
          <w:rFonts w:eastAsia="Times New Roman" w:cstheme="minorHAnsi"/>
          <w:lang w:val="en-US" w:eastAsia="el-GR"/>
        </w:rPr>
        <w:t>, 43-61.</w:t>
      </w:r>
    </w:p>
    <w:p w:rsidR="00364500" w:rsidRPr="00F41723" w:rsidRDefault="00364500" w:rsidP="00E27EFE">
      <w:pPr>
        <w:spacing w:after="0" w:line="240" w:lineRule="auto"/>
        <w:ind w:firstLine="284"/>
        <w:jc w:val="both"/>
        <w:rPr>
          <w:rFonts w:eastAsia="Times New Roman" w:cstheme="minorHAnsi"/>
          <w:lang w:eastAsia="el-GR"/>
        </w:rPr>
      </w:pPr>
      <w:proofErr w:type="spellStart"/>
      <w:r w:rsidRPr="00F41723">
        <w:rPr>
          <w:rFonts w:eastAsia="Times New Roman" w:cstheme="minorHAnsi"/>
          <w:lang w:val="en-US" w:eastAsia="el-GR"/>
        </w:rPr>
        <w:t>Zawacki</w:t>
      </w:r>
      <w:proofErr w:type="spellEnd"/>
      <w:r w:rsidRPr="00F41723">
        <w:rPr>
          <w:rFonts w:eastAsia="Times New Roman" w:cstheme="minorHAnsi"/>
          <w:lang w:val="en-US" w:eastAsia="el-GR"/>
        </w:rPr>
        <w:t xml:space="preserve">-Richter, O., </w:t>
      </w:r>
      <w:proofErr w:type="spellStart"/>
      <w:r w:rsidRPr="00F41723">
        <w:rPr>
          <w:rFonts w:eastAsia="Times New Roman" w:cstheme="minorHAnsi"/>
          <w:lang w:val="en-US" w:eastAsia="el-GR"/>
        </w:rPr>
        <w:t>Marín</w:t>
      </w:r>
      <w:proofErr w:type="spellEnd"/>
      <w:r w:rsidRPr="00F41723">
        <w:rPr>
          <w:rFonts w:eastAsia="Times New Roman" w:cstheme="minorHAnsi"/>
          <w:lang w:val="en-US" w:eastAsia="el-GR"/>
        </w:rPr>
        <w:t xml:space="preserve">, V. I., Bond, M., &amp; </w:t>
      </w:r>
      <w:proofErr w:type="spellStart"/>
      <w:r w:rsidRPr="00F41723">
        <w:rPr>
          <w:rFonts w:eastAsia="Times New Roman" w:cstheme="minorHAnsi"/>
          <w:lang w:val="en-US" w:eastAsia="el-GR"/>
        </w:rPr>
        <w:t>Gouverneur</w:t>
      </w:r>
      <w:proofErr w:type="spellEnd"/>
      <w:r w:rsidRPr="00F41723">
        <w:rPr>
          <w:rFonts w:eastAsia="Times New Roman" w:cstheme="minorHAnsi"/>
          <w:lang w:val="en-US" w:eastAsia="el-GR"/>
        </w:rPr>
        <w:t xml:space="preserve">, F. (2019). Systematic review of research on artificial intelligence applications in higher education—Where are the educators? </w:t>
      </w:r>
      <w:r w:rsidRPr="00F41723">
        <w:rPr>
          <w:rFonts w:eastAsia="Times New Roman" w:cstheme="minorHAnsi"/>
          <w:i/>
          <w:iCs/>
          <w:lang w:eastAsia="el-GR"/>
        </w:rPr>
        <w:t xml:space="preserve">International Journal of Educational </w:t>
      </w:r>
      <w:proofErr w:type="spellStart"/>
      <w:r w:rsidRPr="00F41723">
        <w:rPr>
          <w:rFonts w:eastAsia="Times New Roman" w:cstheme="minorHAnsi"/>
          <w:i/>
          <w:iCs/>
          <w:lang w:eastAsia="el-GR"/>
        </w:rPr>
        <w:t>Technology</w:t>
      </w:r>
      <w:proofErr w:type="spellEnd"/>
      <w:r w:rsidRPr="00F41723">
        <w:rPr>
          <w:rFonts w:eastAsia="Times New Roman" w:cstheme="minorHAnsi"/>
          <w:i/>
          <w:iCs/>
          <w:lang w:eastAsia="el-GR"/>
        </w:rPr>
        <w:t xml:space="preserve"> in </w:t>
      </w:r>
      <w:proofErr w:type="spellStart"/>
      <w:r w:rsidRPr="00F41723">
        <w:rPr>
          <w:rFonts w:eastAsia="Times New Roman" w:cstheme="minorHAnsi"/>
          <w:i/>
          <w:iCs/>
          <w:lang w:eastAsia="el-GR"/>
        </w:rPr>
        <w:t>Higher</w:t>
      </w:r>
      <w:proofErr w:type="spellEnd"/>
      <w:r w:rsidRPr="00F41723">
        <w:rPr>
          <w:rFonts w:eastAsia="Times New Roman" w:cstheme="minorHAnsi"/>
          <w:i/>
          <w:iCs/>
          <w:lang w:eastAsia="el-GR"/>
        </w:rPr>
        <w:t xml:space="preserve"> </w:t>
      </w:r>
      <w:proofErr w:type="spellStart"/>
      <w:r w:rsidRPr="00F41723">
        <w:rPr>
          <w:rFonts w:eastAsia="Times New Roman" w:cstheme="minorHAnsi"/>
          <w:i/>
          <w:iCs/>
          <w:lang w:eastAsia="el-GR"/>
        </w:rPr>
        <w:t>Education</w:t>
      </w:r>
      <w:proofErr w:type="spellEnd"/>
      <w:r w:rsidRPr="00F41723">
        <w:rPr>
          <w:rFonts w:eastAsia="Times New Roman" w:cstheme="minorHAnsi"/>
          <w:lang w:eastAsia="el-GR"/>
        </w:rPr>
        <w:t xml:space="preserve">, </w:t>
      </w:r>
      <w:r w:rsidRPr="00F41723">
        <w:rPr>
          <w:rFonts w:eastAsia="Times New Roman" w:cstheme="minorHAnsi"/>
          <w:i/>
          <w:iCs/>
          <w:lang w:eastAsia="el-GR"/>
        </w:rPr>
        <w:t>16</w:t>
      </w:r>
      <w:r w:rsidRPr="00F41723">
        <w:rPr>
          <w:rFonts w:eastAsia="Times New Roman" w:cstheme="minorHAnsi"/>
          <w:lang w:eastAsia="el-GR"/>
        </w:rPr>
        <w:t>(1), 39.</w:t>
      </w:r>
    </w:p>
    <w:p w:rsidR="00364500" w:rsidRPr="00F41723" w:rsidRDefault="00364500" w:rsidP="00364500">
      <w:pPr>
        <w:ind w:left="284" w:hanging="284"/>
        <w:jc w:val="both"/>
        <w:rPr>
          <w:rFonts w:cstheme="minorHAnsi"/>
        </w:rPr>
      </w:pPr>
    </w:p>
    <w:p w:rsidR="006966BC" w:rsidRPr="00330DB3" w:rsidRDefault="006966BC" w:rsidP="00364500">
      <w:pPr>
        <w:spacing w:after="0" w:line="240" w:lineRule="auto"/>
        <w:ind w:left="284" w:hanging="284"/>
        <w:jc w:val="both"/>
        <w:rPr>
          <w:rFonts w:eastAsia="Times New Roman" w:cstheme="minorHAnsi"/>
          <w:lang w:eastAsia="el-GR"/>
        </w:rPr>
      </w:pPr>
    </w:p>
    <w:sectPr w:rsidR="006966BC" w:rsidRPr="00330D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855C6"/>
    <w:multiLevelType w:val="multilevel"/>
    <w:tmpl w:val="B318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16695"/>
    <w:multiLevelType w:val="multilevel"/>
    <w:tmpl w:val="5C6AD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540F75"/>
    <w:multiLevelType w:val="multilevel"/>
    <w:tmpl w:val="4796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152EB"/>
    <w:multiLevelType w:val="hybridMultilevel"/>
    <w:tmpl w:val="88025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F65145"/>
    <w:multiLevelType w:val="multilevel"/>
    <w:tmpl w:val="1F0E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30E09"/>
    <w:multiLevelType w:val="multilevel"/>
    <w:tmpl w:val="297C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0558D2"/>
    <w:multiLevelType w:val="multilevel"/>
    <w:tmpl w:val="682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C1C72"/>
    <w:multiLevelType w:val="hybridMultilevel"/>
    <w:tmpl w:val="69DCA3E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nsid w:val="7BEA0AAD"/>
    <w:multiLevelType w:val="multilevel"/>
    <w:tmpl w:val="79F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906353"/>
    <w:multiLevelType w:val="multilevel"/>
    <w:tmpl w:val="78584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4"/>
  </w:num>
  <w:num w:numId="5">
    <w:abstractNumId w:val="5"/>
  </w:num>
  <w:num w:numId="6">
    <w:abstractNumId w:val="6"/>
  </w:num>
  <w:num w:numId="7">
    <w:abstractNumId w:val="8"/>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DB3"/>
    <w:rsid w:val="000117E9"/>
    <w:rsid w:val="00085F4A"/>
    <w:rsid w:val="000F6220"/>
    <w:rsid w:val="0014175E"/>
    <w:rsid w:val="001A233D"/>
    <w:rsid w:val="001D45AE"/>
    <w:rsid w:val="001F1D39"/>
    <w:rsid w:val="002D1D2A"/>
    <w:rsid w:val="00330DB3"/>
    <w:rsid w:val="00334E5D"/>
    <w:rsid w:val="003557BE"/>
    <w:rsid w:val="00364500"/>
    <w:rsid w:val="00381453"/>
    <w:rsid w:val="003A49F6"/>
    <w:rsid w:val="003B5F6C"/>
    <w:rsid w:val="004355E5"/>
    <w:rsid w:val="00504302"/>
    <w:rsid w:val="005507C5"/>
    <w:rsid w:val="006966BC"/>
    <w:rsid w:val="006B0430"/>
    <w:rsid w:val="007032AC"/>
    <w:rsid w:val="007317C4"/>
    <w:rsid w:val="007A46C5"/>
    <w:rsid w:val="007C1C74"/>
    <w:rsid w:val="008C0AF1"/>
    <w:rsid w:val="008E0220"/>
    <w:rsid w:val="009767AB"/>
    <w:rsid w:val="00994267"/>
    <w:rsid w:val="00A83F14"/>
    <w:rsid w:val="00AA1E14"/>
    <w:rsid w:val="00B15500"/>
    <w:rsid w:val="00B46757"/>
    <w:rsid w:val="00B5195F"/>
    <w:rsid w:val="00B83740"/>
    <w:rsid w:val="00BD38A0"/>
    <w:rsid w:val="00BF7184"/>
    <w:rsid w:val="00BF7243"/>
    <w:rsid w:val="00C77B9C"/>
    <w:rsid w:val="00C858F5"/>
    <w:rsid w:val="00CB2732"/>
    <w:rsid w:val="00CC719B"/>
    <w:rsid w:val="00D170D7"/>
    <w:rsid w:val="00D17ED4"/>
    <w:rsid w:val="00D63A74"/>
    <w:rsid w:val="00DC5E42"/>
    <w:rsid w:val="00E27EFE"/>
    <w:rsid w:val="00E95466"/>
    <w:rsid w:val="00F57E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BCD78-ABD0-42EB-9A3E-8866AAE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DB3"/>
    <w:pPr>
      <w:ind w:left="720"/>
      <w:contextualSpacing/>
    </w:pPr>
  </w:style>
  <w:style w:type="character" w:styleId="-">
    <w:name w:val="Hyperlink"/>
    <w:basedOn w:val="a0"/>
    <w:uiPriority w:val="99"/>
    <w:unhideWhenUsed/>
    <w:rsid w:val="006966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65732">
      <w:bodyDiv w:val="1"/>
      <w:marLeft w:val="0"/>
      <w:marRight w:val="0"/>
      <w:marTop w:val="0"/>
      <w:marBottom w:val="0"/>
      <w:divBdr>
        <w:top w:val="none" w:sz="0" w:space="0" w:color="auto"/>
        <w:left w:val="none" w:sz="0" w:space="0" w:color="auto"/>
        <w:bottom w:val="none" w:sz="0" w:space="0" w:color="auto"/>
        <w:right w:val="none" w:sz="0" w:space="0" w:color="auto"/>
      </w:divBdr>
    </w:div>
    <w:div w:id="1631741846">
      <w:bodyDiv w:val="1"/>
      <w:marLeft w:val="0"/>
      <w:marRight w:val="0"/>
      <w:marTop w:val="0"/>
      <w:marBottom w:val="0"/>
      <w:divBdr>
        <w:top w:val="none" w:sz="0" w:space="0" w:color="auto"/>
        <w:left w:val="none" w:sz="0" w:space="0" w:color="auto"/>
        <w:bottom w:val="none" w:sz="0" w:space="0" w:color="auto"/>
        <w:right w:val="none" w:sz="0" w:space="0" w:color="auto"/>
      </w:divBdr>
      <w:divsChild>
        <w:div w:id="1424451158">
          <w:marLeft w:val="0"/>
          <w:marRight w:val="0"/>
          <w:marTop w:val="0"/>
          <w:marBottom w:val="0"/>
          <w:divBdr>
            <w:top w:val="none" w:sz="0" w:space="0" w:color="auto"/>
            <w:left w:val="none" w:sz="0" w:space="0" w:color="auto"/>
            <w:bottom w:val="none" w:sz="0" w:space="0" w:color="auto"/>
            <w:right w:val="none" w:sz="0" w:space="0" w:color="auto"/>
          </w:divBdr>
          <w:divsChild>
            <w:div w:id="114714039">
              <w:marLeft w:val="0"/>
              <w:marRight w:val="0"/>
              <w:marTop w:val="0"/>
              <w:marBottom w:val="0"/>
              <w:divBdr>
                <w:top w:val="none" w:sz="0" w:space="0" w:color="auto"/>
                <w:left w:val="none" w:sz="0" w:space="0" w:color="auto"/>
                <w:bottom w:val="none" w:sz="0" w:space="0" w:color="auto"/>
                <w:right w:val="none" w:sz="0" w:space="0" w:color="auto"/>
              </w:divBdr>
              <w:divsChild>
                <w:div w:id="851383371">
                  <w:marLeft w:val="0"/>
                  <w:marRight w:val="0"/>
                  <w:marTop w:val="0"/>
                  <w:marBottom w:val="0"/>
                  <w:divBdr>
                    <w:top w:val="none" w:sz="0" w:space="0" w:color="auto"/>
                    <w:left w:val="none" w:sz="0" w:space="0" w:color="auto"/>
                    <w:bottom w:val="none" w:sz="0" w:space="0" w:color="auto"/>
                    <w:right w:val="none" w:sz="0" w:space="0" w:color="auto"/>
                  </w:divBdr>
                  <w:divsChild>
                    <w:div w:id="450054207">
                      <w:marLeft w:val="0"/>
                      <w:marRight w:val="0"/>
                      <w:marTop w:val="0"/>
                      <w:marBottom w:val="0"/>
                      <w:divBdr>
                        <w:top w:val="none" w:sz="0" w:space="0" w:color="auto"/>
                        <w:left w:val="none" w:sz="0" w:space="0" w:color="auto"/>
                        <w:bottom w:val="none" w:sz="0" w:space="0" w:color="auto"/>
                        <w:right w:val="none" w:sz="0" w:space="0" w:color="auto"/>
                      </w:divBdr>
                    </w:div>
                    <w:div w:id="8857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8136">
          <w:marLeft w:val="0"/>
          <w:marRight w:val="0"/>
          <w:marTop w:val="0"/>
          <w:marBottom w:val="0"/>
          <w:divBdr>
            <w:top w:val="none" w:sz="0" w:space="0" w:color="auto"/>
            <w:left w:val="none" w:sz="0" w:space="0" w:color="auto"/>
            <w:bottom w:val="none" w:sz="0" w:space="0" w:color="auto"/>
            <w:right w:val="none" w:sz="0" w:space="0" w:color="auto"/>
          </w:divBdr>
          <w:divsChild>
            <w:div w:id="659695309">
              <w:marLeft w:val="0"/>
              <w:marRight w:val="0"/>
              <w:marTop w:val="0"/>
              <w:marBottom w:val="0"/>
              <w:divBdr>
                <w:top w:val="none" w:sz="0" w:space="0" w:color="auto"/>
                <w:left w:val="none" w:sz="0" w:space="0" w:color="auto"/>
                <w:bottom w:val="none" w:sz="0" w:space="0" w:color="auto"/>
                <w:right w:val="none" w:sz="0" w:space="0" w:color="auto"/>
              </w:divBdr>
              <w:divsChild>
                <w:div w:id="1201357566">
                  <w:marLeft w:val="0"/>
                  <w:marRight w:val="0"/>
                  <w:marTop w:val="0"/>
                  <w:marBottom w:val="0"/>
                  <w:divBdr>
                    <w:top w:val="none" w:sz="0" w:space="0" w:color="auto"/>
                    <w:left w:val="none" w:sz="0" w:space="0" w:color="auto"/>
                    <w:bottom w:val="none" w:sz="0" w:space="0" w:color="auto"/>
                    <w:right w:val="none" w:sz="0" w:space="0" w:color="auto"/>
                  </w:divBdr>
                  <w:divsChild>
                    <w:div w:id="345794307">
                      <w:marLeft w:val="0"/>
                      <w:marRight w:val="0"/>
                      <w:marTop w:val="0"/>
                      <w:marBottom w:val="0"/>
                      <w:divBdr>
                        <w:top w:val="none" w:sz="0" w:space="0" w:color="auto"/>
                        <w:left w:val="none" w:sz="0" w:space="0" w:color="auto"/>
                        <w:bottom w:val="none" w:sz="0" w:space="0" w:color="auto"/>
                        <w:right w:val="none" w:sz="0" w:space="0" w:color="auto"/>
                      </w:divBdr>
                    </w:div>
                    <w:div w:id="782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tzipl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5686</Words>
  <Characters>30710</Characters>
  <Application>Microsoft Office Word</Application>
  <DocSecurity>0</DocSecurity>
  <Lines>255</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2025-09-05T19:17:00Z</dcterms:created>
  <dcterms:modified xsi:type="dcterms:W3CDTF">2025-09-05T19:19:00Z</dcterms:modified>
</cp:coreProperties>
</file>