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99EFB" w14:textId="77777777" w:rsidR="00DA234B" w:rsidRPr="00F8215E" w:rsidRDefault="00DA234B" w:rsidP="00A13014">
      <w:pPr>
        <w:spacing w:after="140"/>
        <w:jc w:val="center"/>
        <w:rPr>
          <w:rFonts w:asciiTheme="majorHAnsi" w:hAnsiTheme="majorHAnsi" w:cs="Times New Roman"/>
          <w:lang w:val="el-GR"/>
        </w:rPr>
      </w:pPr>
      <w:r w:rsidRPr="00F8215E">
        <w:rPr>
          <w:rFonts w:asciiTheme="majorHAnsi" w:hAnsiTheme="majorHAnsi" w:cs="Times New Roman"/>
          <w:sz w:val="28"/>
          <w:szCs w:val="28"/>
          <w:lang w:val="el-GR"/>
        </w:rPr>
        <w:t>Εμπλοκή των Ελληνίδων μητέρων στη σχολική εκπαίδευση του παιδιού τους (δημοτικού σχολείου</w:t>
      </w:r>
      <w:r w:rsidRPr="00F8215E">
        <w:rPr>
          <w:rFonts w:asciiTheme="majorHAnsi" w:hAnsiTheme="majorHAnsi" w:cs="Times New Roman"/>
          <w:lang w:val="el-GR"/>
        </w:rPr>
        <w:t>)</w:t>
      </w:r>
    </w:p>
    <w:p w14:paraId="3DA14722" w14:textId="77777777" w:rsidR="00065D65" w:rsidRDefault="00065D65" w:rsidP="00065D65">
      <w:pPr>
        <w:spacing w:before="100" w:beforeAutospacing="1" w:after="100" w:afterAutospacing="1"/>
        <w:contextualSpacing/>
        <w:jc w:val="center"/>
        <w:outlineLvl w:val="2"/>
        <w:rPr>
          <w:rFonts w:asciiTheme="majorHAnsi" w:eastAsia="Times New Roman" w:hAnsiTheme="majorHAnsi" w:cs="Times New Roman"/>
          <w:b/>
          <w:bCs/>
        </w:rPr>
      </w:pPr>
      <w:r w:rsidRPr="005E3A2B">
        <w:rPr>
          <w:rFonts w:asciiTheme="majorHAnsi" w:eastAsia="Times New Roman" w:hAnsiTheme="majorHAnsi" w:cs="Times New Roman"/>
          <w:b/>
          <w:bCs/>
        </w:rPr>
        <w:t>Κολοκύθα Ασπασία Ελένη</w:t>
      </w:r>
    </w:p>
    <w:p w14:paraId="6F32A968" w14:textId="77777777" w:rsidR="00065D65" w:rsidRPr="00F26BAD" w:rsidRDefault="00065D65" w:rsidP="00065D65">
      <w:pPr>
        <w:spacing w:before="240" w:after="100" w:afterAutospacing="1"/>
        <w:contextualSpacing/>
        <w:jc w:val="center"/>
        <w:outlineLvl w:val="2"/>
        <w:rPr>
          <w:rFonts w:asciiTheme="majorHAnsi" w:eastAsia="Times New Roman" w:hAnsiTheme="majorHAnsi" w:cs="Times New Roman"/>
          <w:bCs/>
          <w:sz w:val="22"/>
          <w:szCs w:val="22"/>
        </w:rPr>
      </w:pPr>
      <w:r w:rsidRPr="00F26BAD">
        <w:rPr>
          <w:rFonts w:asciiTheme="majorHAnsi" w:eastAsia="Times New Roman" w:hAnsiTheme="majorHAnsi" w:cs="Times New Roman"/>
          <w:bCs/>
          <w:sz w:val="22"/>
          <w:szCs w:val="22"/>
        </w:rPr>
        <w:t xml:space="preserve">Δασκάλα </w:t>
      </w:r>
      <w:r>
        <w:rPr>
          <w:rFonts w:asciiTheme="majorHAnsi" w:eastAsia="Times New Roman" w:hAnsiTheme="majorHAnsi" w:cs="Times New Roman"/>
          <w:bCs/>
          <w:sz w:val="22"/>
          <w:szCs w:val="22"/>
        </w:rPr>
        <w:t>ΠE</w:t>
      </w:r>
      <w:r w:rsidRPr="00F26BAD">
        <w:rPr>
          <w:rFonts w:asciiTheme="majorHAnsi" w:eastAsia="Times New Roman" w:hAnsiTheme="majorHAnsi" w:cs="Times New Roman"/>
          <w:bCs/>
          <w:sz w:val="22"/>
          <w:szCs w:val="22"/>
        </w:rPr>
        <w:t>70, Πρωτοβάθμια Εκπαίδευση, aspasiakolokytha0@gmail.com</w:t>
      </w:r>
    </w:p>
    <w:p w14:paraId="76B4D993" w14:textId="77777777" w:rsidR="00A13014" w:rsidRPr="00E26A71" w:rsidRDefault="00A13014" w:rsidP="00250E91">
      <w:pPr>
        <w:spacing w:before="240" w:after="100" w:afterAutospacing="1"/>
        <w:ind w:left="284"/>
        <w:jc w:val="both"/>
        <w:outlineLvl w:val="2"/>
        <w:rPr>
          <w:rFonts w:asciiTheme="majorHAnsi" w:eastAsia="Times New Roman" w:hAnsiTheme="majorHAnsi" w:cs="Times New Roman"/>
          <w:b/>
          <w:bCs/>
          <w:sz w:val="22"/>
          <w:szCs w:val="22"/>
          <w:lang w:val="el-GR"/>
        </w:rPr>
      </w:pPr>
    </w:p>
    <w:p w14:paraId="130BC6CE" w14:textId="77777777" w:rsidR="00FD51C3" w:rsidRPr="00E26A71" w:rsidRDefault="00FD51C3" w:rsidP="00250E91">
      <w:pPr>
        <w:spacing w:before="240" w:after="100" w:afterAutospacing="1"/>
        <w:ind w:left="284"/>
        <w:jc w:val="both"/>
        <w:outlineLvl w:val="2"/>
        <w:rPr>
          <w:rFonts w:asciiTheme="majorHAnsi" w:eastAsia="Times New Roman" w:hAnsiTheme="majorHAnsi" w:cs="Times New Roman"/>
          <w:b/>
          <w:bCs/>
          <w:sz w:val="22"/>
          <w:szCs w:val="22"/>
          <w:lang w:val="el-GR"/>
        </w:rPr>
      </w:pPr>
      <w:r w:rsidRPr="00E26A71">
        <w:rPr>
          <w:rFonts w:asciiTheme="majorHAnsi" w:eastAsia="Times New Roman" w:hAnsiTheme="majorHAnsi" w:cs="Times New Roman"/>
          <w:b/>
          <w:bCs/>
          <w:sz w:val="22"/>
          <w:szCs w:val="22"/>
          <w:lang w:val="el-GR"/>
        </w:rPr>
        <w:t xml:space="preserve">Περίληψη </w:t>
      </w:r>
    </w:p>
    <w:p w14:paraId="45D67D9D" w14:textId="77777777" w:rsidR="00FD51C3" w:rsidRPr="00E26A71" w:rsidRDefault="00FD51C3" w:rsidP="00074E64">
      <w:pPr>
        <w:spacing w:before="100" w:beforeAutospacing="1" w:after="100" w:afterAutospacing="1"/>
        <w:jc w:val="both"/>
        <w:rPr>
          <w:rFonts w:asciiTheme="majorHAnsi" w:hAnsiTheme="majorHAnsi" w:cs="Times New Roman"/>
          <w:sz w:val="22"/>
          <w:szCs w:val="22"/>
          <w:lang w:val="el-GR"/>
        </w:rPr>
      </w:pPr>
      <w:r w:rsidRPr="00E26A71">
        <w:rPr>
          <w:rFonts w:asciiTheme="majorHAnsi" w:hAnsiTheme="majorHAnsi" w:cs="Times New Roman"/>
          <w:sz w:val="22"/>
          <w:szCs w:val="22"/>
          <w:lang w:val="el-GR"/>
        </w:rPr>
        <w:t xml:space="preserve">Η γονεϊκή εμπλοκή στη σχολική εκπαίδευση αποτελεί αντικείμενο επιστημονικής έρευνας, με τις μητέρες να αναδεικνύονται </w:t>
      </w:r>
      <w:r w:rsidR="00DE3E09" w:rsidRPr="00E26A71">
        <w:rPr>
          <w:rFonts w:asciiTheme="majorHAnsi" w:hAnsiTheme="majorHAnsi" w:cs="Times New Roman"/>
          <w:sz w:val="22"/>
          <w:szCs w:val="22"/>
          <w:lang w:val="el-GR"/>
        </w:rPr>
        <w:t>οι πιο</w:t>
      </w:r>
      <w:r w:rsidRPr="00E26A71">
        <w:rPr>
          <w:rFonts w:asciiTheme="majorHAnsi" w:hAnsiTheme="majorHAnsi" w:cs="Times New Roman"/>
          <w:sz w:val="22"/>
          <w:szCs w:val="22"/>
          <w:lang w:val="el-GR"/>
        </w:rPr>
        <w:t xml:space="preserve"> δραστήριοι φορείς υποστήριξης, εντός και εκτός σχολείου. Στην ελληνική πραγματικότητα, δύο κρίσιμοι παράγοντες που επηρεάζουν την ενασχόληση των μητέρων με την εκπαίδευση των παιδιών τους είναι το οικονομικό και το μορφωτικό τους επίπεδο. Η παρούσα μελέτη επιδιώκει να εξετάσει πώς διαφοροποιούνται αυτοί οι παράγοντες μεταξύ μητέρων που συμμετέχουν ενεργά στην εκπαιδευτική διαδικασία του παιδιού τους και εκείνων που δεν συμμετέχουν. Το δείγμα περιλαμβάνει 22 μητέρες, </w:t>
      </w:r>
      <w:r w:rsidR="00F8215E" w:rsidRPr="00E26A71">
        <w:rPr>
          <w:rFonts w:asciiTheme="majorHAnsi" w:hAnsiTheme="majorHAnsi" w:cs="Times New Roman"/>
          <w:sz w:val="22"/>
          <w:szCs w:val="22"/>
          <w:lang w:val="el-GR"/>
        </w:rPr>
        <w:t>που</w:t>
      </w:r>
      <w:r w:rsidRPr="00E26A71">
        <w:rPr>
          <w:rFonts w:asciiTheme="majorHAnsi" w:hAnsiTheme="majorHAnsi" w:cs="Times New Roman"/>
          <w:sz w:val="22"/>
          <w:szCs w:val="22"/>
          <w:lang w:val="el-GR"/>
        </w:rPr>
        <w:t xml:space="preserve"> διαχωρίζονται ισότιμα σε δύο ομάδες: </w:t>
      </w:r>
      <w:r w:rsidR="00B64992" w:rsidRPr="00E26A71">
        <w:rPr>
          <w:rFonts w:asciiTheme="majorHAnsi" w:hAnsiTheme="majorHAnsi" w:cs="Times New Roman"/>
          <w:sz w:val="22"/>
          <w:szCs w:val="22"/>
          <w:lang w:val="el-GR"/>
        </w:rPr>
        <w:t>εμπλεκόμενες και μ</w:t>
      </w:r>
      <w:r w:rsidR="00B64992">
        <w:rPr>
          <w:rFonts w:asciiTheme="majorHAnsi" w:hAnsiTheme="majorHAnsi" w:cs="Times New Roman"/>
          <w:sz w:val="22"/>
          <w:szCs w:val="22"/>
          <w:lang w:val="el-GR"/>
        </w:rPr>
        <w:t>η</w:t>
      </w:r>
      <w:r w:rsidRPr="00E26A71">
        <w:rPr>
          <w:rFonts w:asciiTheme="majorHAnsi" w:hAnsiTheme="majorHAnsi" w:cs="Times New Roman"/>
          <w:sz w:val="22"/>
          <w:szCs w:val="22"/>
          <w:lang w:val="el-GR"/>
        </w:rPr>
        <w:t xml:space="preserve">. Η ανάλυση βασίζεται στη συσχέτιση </w:t>
      </w:r>
      <w:r w:rsidRPr="00FD51C3">
        <w:rPr>
          <w:rFonts w:asciiTheme="majorHAnsi" w:hAnsiTheme="majorHAnsi" w:cs="Times New Roman"/>
          <w:sz w:val="22"/>
          <w:szCs w:val="22"/>
        </w:rPr>
        <w:t>Pearson</w:t>
      </w:r>
      <w:r w:rsidRPr="00E26A71">
        <w:rPr>
          <w:rFonts w:asciiTheme="majorHAnsi" w:hAnsiTheme="majorHAnsi" w:cs="Times New Roman"/>
          <w:sz w:val="22"/>
          <w:szCs w:val="22"/>
          <w:lang w:val="el-GR"/>
        </w:rPr>
        <w:t xml:space="preserve"> και το συντελεστή </w:t>
      </w:r>
      <w:r w:rsidRPr="00FD51C3">
        <w:rPr>
          <w:rFonts w:asciiTheme="majorHAnsi" w:hAnsiTheme="majorHAnsi" w:cs="Times New Roman"/>
          <w:sz w:val="22"/>
          <w:szCs w:val="22"/>
        </w:rPr>
        <w:t>Spearman</w:t>
      </w:r>
      <w:r w:rsidRPr="00E26A71">
        <w:rPr>
          <w:rFonts w:asciiTheme="majorHAnsi" w:hAnsiTheme="majorHAnsi" w:cs="Times New Roman"/>
          <w:sz w:val="22"/>
          <w:szCs w:val="22"/>
          <w:lang w:val="el-GR"/>
        </w:rPr>
        <w:t xml:space="preserve">, με επίπεδο σημαντικότητας α=0,05. Τα ευρήματα καταδεικνύουν θετική συσχέτιση μεταξύ της συμμετοχής και των επιπέδων οικονομικής και μορφωτικής κατάστασης. </w:t>
      </w:r>
      <w:r w:rsidR="008F1032" w:rsidRPr="00E26A71">
        <w:rPr>
          <w:rFonts w:asciiTheme="majorHAnsi" w:hAnsiTheme="majorHAnsi" w:cs="Times New Roman"/>
          <w:sz w:val="22"/>
          <w:szCs w:val="22"/>
          <w:lang w:val="el-GR"/>
        </w:rPr>
        <w:t>Μ</w:t>
      </w:r>
      <w:r w:rsidRPr="00E26A71">
        <w:rPr>
          <w:rFonts w:asciiTheme="majorHAnsi" w:hAnsiTheme="majorHAnsi" w:cs="Times New Roman"/>
          <w:sz w:val="22"/>
          <w:szCs w:val="22"/>
          <w:lang w:val="el-GR"/>
        </w:rPr>
        <w:t>ητέρες με υψηλότερη εκπαίδευση και εισόδημα παρέχουν στα παιδιά τους μεγαλύτερη υποστήριξη στη μελέτη. Αντίθετα, μητέρες με χαμηλότερα οικονομικά και εκπαιδευτικά χαρακτηριστικά δυσκολεύονται να ανταποκριθούν, λόγω έλλειψης χρόνου ή γνώσεων.</w:t>
      </w:r>
    </w:p>
    <w:p w14:paraId="509DD364" w14:textId="77777777" w:rsidR="00FD51C3" w:rsidRPr="00E26A71" w:rsidRDefault="00FD51C3" w:rsidP="00E75D31">
      <w:pPr>
        <w:spacing w:before="100" w:beforeAutospacing="1" w:after="100" w:afterAutospacing="1"/>
        <w:jc w:val="both"/>
        <w:rPr>
          <w:rFonts w:ascii="Times New Roman" w:hAnsi="Times New Roman" w:cs="Times New Roman"/>
          <w:sz w:val="20"/>
          <w:szCs w:val="20"/>
          <w:lang w:val="el-GR"/>
        </w:rPr>
      </w:pPr>
      <w:r w:rsidRPr="00E26A71">
        <w:rPr>
          <w:rFonts w:ascii="Times New Roman" w:hAnsi="Times New Roman" w:cs="Times New Roman"/>
          <w:sz w:val="20"/>
          <w:szCs w:val="20"/>
          <w:lang w:val="el-GR"/>
        </w:rPr>
        <w:t>Λέξεις-κλειδιά: Γονεϊκή εμπλοκή, μορφωτικό επίπεδο, οικονομικό επίπεδο, δημοτική εκπαίδευση.</w:t>
      </w:r>
    </w:p>
    <w:p w14:paraId="51C3779F" w14:textId="77777777" w:rsidR="00563C05" w:rsidRPr="00A13014" w:rsidRDefault="00563C05" w:rsidP="00563C05">
      <w:pPr>
        <w:spacing w:before="240" w:after="100" w:afterAutospacing="1"/>
        <w:ind w:left="284"/>
        <w:jc w:val="both"/>
        <w:rPr>
          <w:rFonts w:asciiTheme="majorHAnsi" w:hAnsiTheme="majorHAnsi" w:cs="Times New Roman"/>
          <w:b/>
          <w:sz w:val="22"/>
          <w:szCs w:val="22"/>
        </w:rPr>
      </w:pPr>
      <w:r w:rsidRPr="00A13014">
        <w:rPr>
          <w:rFonts w:asciiTheme="majorHAnsi" w:hAnsiTheme="majorHAnsi" w:cs="Times New Roman"/>
          <w:b/>
          <w:sz w:val="22"/>
          <w:szCs w:val="22"/>
        </w:rPr>
        <w:t>Review</w:t>
      </w:r>
    </w:p>
    <w:p w14:paraId="52D0F5DD" w14:textId="77777777" w:rsidR="0018062A" w:rsidRPr="001048F9" w:rsidRDefault="0018062A" w:rsidP="0018062A">
      <w:pPr>
        <w:jc w:val="both"/>
        <w:rPr>
          <w:rFonts w:asciiTheme="majorHAnsi" w:eastAsia="Times New Roman" w:hAnsiTheme="majorHAnsi" w:cs="Times New Roman"/>
          <w:sz w:val="22"/>
          <w:szCs w:val="22"/>
        </w:rPr>
      </w:pPr>
      <w:r w:rsidRPr="0018062A">
        <w:rPr>
          <w:rFonts w:asciiTheme="majorHAnsi" w:eastAsia="Times New Roman" w:hAnsiTheme="majorHAnsi" w:cs="Times New Roman"/>
          <w:sz w:val="22"/>
          <w:szCs w:val="22"/>
        </w:rPr>
        <w:t xml:space="preserve">Parental involvement in school education is a subject of scientific research, with mothers emerging as the most active agents of support, both within and outside the school environment. In the Greek context, two critical factors influencing mothers' engagement in their children's education are their economic and educational levels. This study aims to examine how these factors differ between mothers who actively participate in their child's educational process and those who do not. The sample includes 22 mothers, equally divided into two groups: involved and non-involved. The analysis is based on Pearson and Spearman correlation coefficients, with a significance level of α=0.05. The findings indicate a positive correlation between participation and economic and educational status. Mothers with higher </w:t>
      </w:r>
      <w:r w:rsidRPr="001048F9">
        <w:rPr>
          <w:rFonts w:asciiTheme="majorHAnsi" w:eastAsia="Times New Roman" w:hAnsiTheme="majorHAnsi" w:cs="Times New Roman"/>
          <w:sz w:val="22"/>
          <w:szCs w:val="22"/>
        </w:rPr>
        <w:t>education and income levels provide greater support for their children's studies. In contrast, mothers with lower economic and educational characteristics face difficulties in engaging, due to lack of time or knowledge.</w:t>
      </w:r>
    </w:p>
    <w:p w14:paraId="3574F6BA" w14:textId="77777777" w:rsidR="001048F9" w:rsidRPr="001048F9" w:rsidRDefault="001048F9" w:rsidP="001048F9">
      <w:pPr>
        <w:jc w:val="both"/>
        <w:rPr>
          <w:rFonts w:asciiTheme="majorHAnsi" w:eastAsia="Times New Roman" w:hAnsiTheme="majorHAnsi" w:cs="Times New Roman"/>
          <w:sz w:val="22"/>
          <w:szCs w:val="22"/>
        </w:rPr>
      </w:pPr>
    </w:p>
    <w:p w14:paraId="632A166F" w14:textId="77777777" w:rsidR="001048F9" w:rsidRPr="001048F9" w:rsidRDefault="001048F9" w:rsidP="001048F9">
      <w:pPr>
        <w:jc w:val="both"/>
        <w:rPr>
          <w:rFonts w:asciiTheme="majorHAnsi" w:eastAsia="Times New Roman" w:hAnsiTheme="majorHAnsi" w:cs="Times New Roman"/>
          <w:sz w:val="22"/>
          <w:szCs w:val="22"/>
        </w:rPr>
      </w:pPr>
      <w:r w:rsidRPr="001048F9">
        <w:rPr>
          <w:rFonts w:asciiTheme="majorHAnsi" w:eastAsia="Times New Roman" w:hAnsiTheme="majorHAnsi" w:cs="Times New Roman"/>
          <w:sz w:val="22"/>
          <w:szCs w:val="22"/>
        </w:rPr>
        <w:t>Keywords: Parental involvement, educational level, economic status, elementary education.</w:t>
      </w:r>
    </w:p>
    <w:p w14:paraId="60AB8A7F" w14:textId="77777777" w:rsidR="00F61A54" w:rsidRPr="001048F9" w:rsidRDefault="00F61A54" w:rsidP="0047741C">
      <w:pPr>
        <w:pStyle w:val="Heading3"/>
        <w:spacing w:before="8" w:beforeAutospacing="0"/>
        <w:ind w:firstLine="102"/>
        <w:jc w:val="both"/>
        <w:rPr>
          <w:rFonts w:asciiTheme="majorHAnsi" w:eastAsia="Times New Roman" w:hAnsiTheme="majorHAnsi"/>
          <w:sz w:val="22"/>
          <w:szCs w:val="22"/>
        </w:rPr>
      </w:pPr>
    </w:p>
    <w:p w14:paraId="2FED12BD" w14:textId="77777777" w:rsidR="00F61A54" w:rsidRDefault="00F61A54" w:rsidP="0047741C">
      <w:pPr>
        <w:pStyle w:val="Heading3"/>
        <w:spacing w:before="8" w:beforeAutospacing="0"/>
        <w:ind w:firstLine="102"/>
        <w:jc w:val="both"/>
        <w:rPr>
          <w:rFonts w:asciiTheme="majorHAnsi" w:eastAsia="Times New Roman" w:hAnsiTheme="majorHAnsi"/>
          <w:sz w:val="22"/>
          <w:szCs w:val="22"/>
        </w:rPr>
      </w:pPr>
    </w:p>
    <w:p w14:paraId="34F4A604" w14:textId="77777777" w:rsidR="00F61A54" w:rsidRDefault="00F61A54" w:rsidP="00A13014">
      <w:pPr>
        <w:pStyle w:val="Heading3"/>
        <w:spacing w:before="8" w:beforeAutospacing="0"/>
        <w:jc w:val="both"/>
        <w:rPr>
          <w:rFonts w:asciiTheme="majorHAnsi" w:eastAsia="Times New Roman" w:hAnsiTheme="majorHAnsi"/>
          <w:sz w:val="22"/>
          <w:szCs w:val="22"/>
        </w:rPr>
      </w:pPr>
    </w:p>
    <w:p w14:paraId="79B1576D" w14:textId="77777777" w:rsidR="00BD1ABD" w:rsidRDefault="00BD1ABD" w:rsidP="002F1777">
      <w:pPr>
        <w:pStyle w:val="Heading3"/>
        <w:spacing w:before="8" w:beforeAutospacing="0"/>
        <w:jc w:val="both"/>
        <w:rPr>
          <w:rFonts w:asciiTheme="majorHAnsi" w:eastAsia="Times New Roman" w:hAnsiTheme="majorHAnsi"/>
          <w:sz w:val="22"/>
          <w:szCs w:val="22"/>
        </w:rPr>
      </w:pPr>
    </w:p>
    <w:p w14:paraId="0599F49E" w14:textId="77777777" w:rsidR="00065D65" w:rsidRDefault="00065D65" w:rsidP="002F1777">
      <w:pPr>
        <w:pStyle w:val="Heading3"/>
        <w:spacing w:before="8" w:beforeAutospacing="0"/>
        <w:jc w:val="both"/>
        <w:rPr>
          <w:rFonts w:asciiTheme="majorHAnsi" w:eastAsia="Times New Roman" w:hAnsiTheme="majorHAnsi"/>
          <w:sz w:val="22"/>
          <w:szCs w:val="22"/>
        </w:rPr>
      </w:pPr>
    </w:p>
    <w:p w14:paraId="2373DF7E" w14:textId="77777777" w:rsidR="00000389" w:rsidRPr="00E26A71" w:rsidRDefault="00000389" w:rsidP="0022369D">
      <w:pPr>
        <w:pStyle w:val="NormalWeb"/>
        <w:spacing w:before="240" w:beforeAutospacing="0"/>
        <w:ind w:firstLine="284"/>
        <w:rPr>
          <w:rFonts w:asciiTheme="majorHAnsi" w:hAnsiTheme="majorHAnsi"/>
          <w:b/>
          <w:sz w:val="22"/>
          <w:szCs w:val="22"/>
          <w:lang w:val="el-GR"/>
        </w:rPr>
      </w:pPr>
      <w:r w:rsidRPr="00E26A71">
        <w:rPr>
          <w:rFonts w:asciiTheme="majorHAnsi" w:hAnsiTheme="majorHAnsi"/>
          <w:b/>
          <w:sz w:val="22"/>
          <w:szCs w:val="22"/>
          <w:lang w:val="el-GR"/>
        </w:rPr>
        <w:lastRenderedPageBreak/>
        <w:t>Εισαγωγή</w:t>
      </w:r>
    </w:p>
    <w:p w14:paraId="307D0DFC" w14:textId="1A6F9C18" w:rsidR="002D77BB" w:rsidRDefault="00000389" w:rsidP="002D77BB">
      <w:pPr>
        <w:pStyle w:val="NormalWeb"/>
        <w:ind w:firstLine="284"/>
        <w:contextualSpacing/>
        <w:jc w:val="both"/>
        <w:rPr>
          <w:rFonts w:asciiTheme="majorHAnsi" w:hAnsiTheme="majorHAnsi"/>
          <w:sz w:val="22"/>
          <w:szCs w:val="22"/>
          <w:lang w:val="el-GR"/>
        </w:rPr>
      </w:pPr>
      <w:r w:rsidRPr="00E26A71">
        <w:rPr>
          <w:rFonts w:asciiTheme="majorHAnsi" w:hAnsiTheme="majorHAnsi"/>
          <w:sz w:val="22"/>
          <w:szCs w:val="22"/>
          <w:lang w:val="el-GR"/>
        </w:rPr>
        <w:t>Η συμμετοχή των γονέων στη σχολική εκπαίδευση αποτελεί σημαντικό στοιχείο για την εκπαιδευτική πρόοδο και την κοινωνική ανάπτυξη των παιδιών, με τις μητέρες να διαδραματίζουν καθοριστικό ρόλο στη διαδικασία αυτή</w:t>
      </w:r>
      <w:r w:rsidR="009D4946">
        <w:rPr>
          <w:rFonts w:asciiTheme="majorHAnsi" w:hAnsiTheme="majorHAnsi"/>
          <w:sz w:val="22"/>
          <w:szCs w:val="22"/>
          <w:lang w:val="el-GR"/>
        </w:rPr>
        <w:t xml:space="preserve"> </w:t>
      </w:r>
      <w:r w:rsidR="009D4946" w:rsidRPr="00391A39">
        <w:rPr>
          <w:rFonts w:asciiTheme="majorHAnsi" w:hAnsiTheme="majorHAnsi"/>
          <w:sz w:val="22"/>
          <w:szCs w:val="22"/>
          <w:highlight w:val="red"/>
          <w:lang w:val="el-GR"/>
        </w:rPr>
        <w:t>(</w:t>
      </w:r>
      <w:r w:rsidR="009D4946" w:rsidRPr="00391A39">
        <w:rPr>
          <w:rFonts w:asciiTheme="majorHAnsi" w:hAnsiTheme="majorHAnsi"/>
          <w:color w:val="000000"/>
          <w:sz w:val="22"/>
          <w:szCs w:val="22"/>
          <w:highlight w:val="red"/>
        </w:rPr>
        <w:t>Jackson et al., 2017)</w:t>
      </w:r>
      <w:r w:rsidRPr="00391A39">
        <w:rPr>
          <w:rFonts w:asciiTheme="majorHAnsi" w:hAnsiTheme="majorHAnsi"/>
          <w:sz w:val="22"/>
          <w:szCs w:val="22"/>
          <w:highlight w:val="red"/>
          <w:lang w:val="el-GR"/>
        </w:rPr>
        <w:t>.</w:t>
      </w:r>
      <w:r w:rsidRPr="00E26A71">
        <w:rPr>
          <w:rFonts w:asciiTheme="majorHAnsi" w:hAnsiTheme="majorHAnsi"/>
          <w:sz w:val="22"/>
          <w:szCs w:val="22"/>
          <w:lang w:val="el-GR"/>
        </w:rPr>
        <w:t xml:space="preserve"> Η εμπλοκή τους επηρεάζεται από ποικίλους παράγοντες, με κυριότερους το μορφωτικό και το οικονομικό επίπεδο. Μητέρες με υψηλότερο μορφωτικό υπόβαθρο τείνουν να συμμετέχουν ενεργότερα στις σχολικές δραστηριότητες και να υποστηρίζουν την εκπαιδευτική διαδικασία, ενώ το οικονομικό επίπεδο επηρεάζει τις δυνατότητές τους να παρέχουν πρόσθετους πόρους και εμπειρίες στα παιδιά τους</w:t>
      </w:r>
      <w:r w:rsidR="0047629E" w:rsidRPr="00E26A71">
        <w:rPr>
          <w:rFonts w:asciiTheme="majorHAnsi" w:hAnsiTheme="majorHAnsi"/>
          <w:sz w:val="22"/>
          <w:szCs w:val="22"/>
          <w:lang w:val="el-GR"/>
        </w:rPr>
        <w:t xml:space="preserve"> (</w:t>
      </w:r>
      <w:r w:rsidR="00FA2715" w:rsidRPr="00B509C8">
        <w:rPr>
          <w:rFonts w:asciiTheme="majorHAnsi" w:hAnsiTheme="majorHAnsi"/>
          <w:color w:val="000000"/>
          <w:sz w:val="22"/>
          <w:szCs w:val="22"/>
        </w:rPr>
        <w:t>Kule Ashirafu</w:t>
      </w:r>
      <w:r w:rsidR="00FA2715">
        <w:rPr>
          <w:rFonts w:asciiTheme="majorHAnsi" w:hAnsiTheme="majorHAnsi"/>
          <w:color w:val="000000"/>
          <w:sz w:val="22"/>
          <w:szCs w:val="22"/>
        </w:rPr>
        <w:t>,</w:t>
      </w:r>
      <w:r w:rsidR="00FA2715" w:rsidRPr="00B509C8">
        <w:rPr>
          <w:rFonts w:asciiTheme="majorHAnsi" w:hAnsiTheme="majorHAnsi"/>
          <w:color w:val="000000"/>
          <w:sz w:val="22"/>
          <w:szCs w:val="22"/>
        </w:rPr>
        <w:t xml:space="preserve"> &amp; Turyamureeba</w:t>
      </w:r>
      <w:r w:rsidR="00FA2715">
        <w:rPr>
          <w:rFonts w:asciiTheme="majorHAnsi" w:hAnsiTheme="majorHAnsi"/>
          <w:color w:val="000000"/>
          <w:sz w:val="22"/>
          <w:szCs w:val="22"/>
        </w:rPr>
        <w:t>, 2024)</w:t>
      </w:r>
      <w:r w:rsidR="0048215F" w:rsidRPr="00E26A71">
        <w:rPr>
          <w:rFonts w:asciiTheme="majorHAnsi" w:hAnsiTheme="majorHAnsi"/>
          <w:color w:val="000000"/>
          <w:sz w:val="22"/>
          <w:szCs w:val="22"/>
          <w:lang w:val="el-GR"/>
        </w:rPr>
        <w:t>.</w:t>
      </w:r>
      <w:r w:rsidR="00E63A09" w:rsidRPr="00E63A09">
        <w:rPr>
          <w:rFonts w:asciiTheme="majorHAnsi" w:hAnsiTheme="majorHAnsi"/>
          <w:sz w:val="22"/>
          <w:szCs w:val="22"/>
          <w:lang w:val="el-GR"/>
        </w:rPr>
        <w:t xml:space="preserve"> </w:t>
      </w:r>
      <w:r w:rsidR="00417D2D">
        <w:rPr>
          <w:rFonts w:asciiTheme="majorHAnsi" w:hAnsiTheme="majorHAnsi"/>
          <w:sz w:val="22"/>
          <w:szCs w:val="22"/>
          <w:highlight w:val="red"/>
          <w:lang w:val="el-GR"/>
        </w:rPr>
        <w:t>Είναι γεγονός ότι η</w:t>
      </w:r>
      <w:r w:rsidR="00E63A09" w:rsidRPr="00391A39">
        <w:rPr>
          <w:rFonts w:asciiTheme="majorHAnsi" w:hAnsiTheme="majorHAnsi"/>
          <w:sz w:val="22"/>
          <w:szCs w:val="22"/>
          <w:highlight w:val="red"/>
          <w:lang w:val="el-GR"/>
        </w:rPr>
        <w:t xml:space="preserve"> γονεϊκή εμπλοκή</w:t>
      </w:r>
      <w:r w:rsidR="00417D2D">
        <w:rPr>
          <w:rFonts w:asciiTheme="majorHAnsi" w:hAnsiTheme="majorHAnsi"/>
          <w:sz w:val="22"/>
          <w:szCs w:val="22"/>
          <w:highlight w:val="red"/>
          <w:lang w:val="el-GR"/>
        </w:rPr>
        <w:t>,</w:t>
      </w:r>
      <w:r w:rsidR="00E63A09" w:rsidRPr="00391A39">
        <w:rPr>
          <w:rFonts w:asciiTheme="majorHAnsi" w:hAnsiTheme="majorHAnsi"/>
          <w:sz w:val="22"/>
          <w:szCs w:val="22"/>
          <w:highlight w:val="red"/>
          <w:lang w:val="el-GR"/>
        </w:rPr>
        <w:t xml:space="preserve"> στη σχολική εκπαίδευση</w:t>
      </w:r>
      <w:r w:rsidR="00417D2D">
        <w:rPr>
          <w:rFonts w:asciiTheme="majorHAnsi" w:hAnsiTheme="majorHAnsi"/>
          <w:sz w:val="22"/>
          <w:szCs w:val="22"/>
          <w:highlight w:val="red"/>
          <w:lang w:val="el-GR"/>
        </w:rPr>
        <w:t>,</w:t>
      </w:r>
      <w:r w:rsidR="00E63A09" w:rsidRPr="00391A39">
        <w:rPr>
          <w:rFonts w:asciiTheme="majorHAnsi" w:hAnsiTheme="majorHAnsi"/>
          <w:sz w:val="22"/>
          <w:szCs w:val="22"/>
          <w:highlight w:val="red"/>
          <w:lang w:val="el-GR"/>
        </w:rPr>
        <w:t xml:space="preserve"> έχει διαφορετικές ερμηνείες ανάλογα με τον πολιτισμικό και κοινωνικό πλαίσιο, αλλά διαχρονικά παραμένει μια σημαντική πτυχή της εκπαιδευτικής διαδικασίας. Οι προσπάθειες για την ενίσχυση της συνεργασίας μεταξύ σχολείου και οικογένειας έχουν απασχολήσει εκπαιδευτικούς και νομοθέτες, καθώς θεωρούνται κρίσιμες για τη βελτίωση της σχολικής επίδοσης των μαθητών. Εντούτοις, </w:t>
      </w:r>
      <w:r w:rsidR="00906BA4" w:rsidRPr="00391A39">
        <w:rPr>
          <w:rFonts w:asciiTheme="majorHAnsi" w:hAnsiTheme="majorHAnsi"/>
          <w:sz w:val="22"/>
          <w:szCs w:val="22"/>
          <w:highlight w:val="red"/>
          <w:lang w:val="el-GR"/>
        </w:rPr>
        <w:t xml:space="preserve">η έρευνα των </w:t>
      </w:r>
      <w:r w:rsidR="00906BA4" w:rsidRPr="00391A39">
        <w:rPr>
          <w:rFonts w:asciiTheme="majorHAnsi" w:hAnsiTheme="majorHAnsi"/>
          <w:sz w:val="22"/>
          <w:szCs w:val="22"/>
          <w:highlight w:val="red"/>
        </w:rPr>
        <w:t>Chen</w:t>
      </w:r>
      <w:r w:rsidR="00906BA4" w:rsidRPr="00391A39">
        <w:rPr>
          <w:rFonts w:asciiTheme="majorHAnsi" w:hAnsiTheme="majorHAnsi"/>
          <w:sz w:val="22"/>
          <w:szCs w:val="22"/>
          <w:highlight w:val="red"/>
          <w:lang w:val="el-GR"/>
        </w:rPr>
        <w:t xml:space="preserve">, &amp; </w:t>
      </w:r>
      <w:r w:rsidR="00906BA4" w:rsidRPr="00391A39">
        <w:rPr>
          <w:rFonts w:asciiTheme="majorHAnsi" w:hAnsiTheme="majorHAnsi"/>
          <w:sz w:val="22"/>
          <w:szCs w:val="22"/>
          <w:highlight w:val="red"/>
        </w:rPr>
        <w:t>Williams</w:t>
      </w:r>
      <w:r w:rsidR="00906BA4" w:rsidRPr="00391A39">
        <w:rPr>
          <w:rFonts w:asciiTheme="majorHAnsi" w:hAnsiTheme="majorHAnsi"/>
          <w:sz w:val="22"/>
          <w:szCs w:val="22"/>
          <w:highlight w:val="red"/>
          <w:lang w:val="el-GR"/>
        </w:rPr>
        <w:t xml:space="preserve"> (2020), επισήμανε ότι </w:t>
      </w:r>
      <w:r w:rsidR="00E63A09" w:rsidRPr="00391A39">
        <w:rPr>
          <w:rFonts w:asciiTheme="majorHAnsi" w:hAnsiTheme="majorHAnsi"/>
          <w:sz w:val="22"/>
          <w:szCs w:val="22"/>
          <w:highlight w:val="red"/>
          <w:lang w:val="el-GR"/>
        </w:rPr>
        <w:t>οι διαφορετικές αντιλήψεις μεταξύ γονέων και εκπαιδευτικών μπορούν να δημιουργήσουν εντάσεις και να περιορίσουν τη συνεργασία</w:t>
      </w:r>
      <w:r w:rsidR="00E63A09" w:rsidRPr="00E26A71">
        <w:rPr>
          <w:rFonts w:asciiTheme="majorHAnsi" w:hAnsiTheme="majorHAnsi"/>
          <w:sz w:val="22"/>
          <w:szCs w:val="22"/>
          <w:lang w:val="el-GR"/>
        </w:rPr>
        <w:t xml:space="preserve"> </w:t>
      </w:r>
    </w:p>
    <w:p w14:paraId="74DC0AE5" w14:textId="6D55BD51" w:rsidR="00000389" w:rsidRPr="00142259" w:rsidRDefault="00000389" w:rsidP="002B5244">
      <w:pPr>
        <w:pStyle w:val="NormalWeb"/>
        <w:ind w:firstLine="284"/>
        <w:contextualSpacing/>
        <w:jc w:val="both"/>
        <w:rPr>
          <w:rFonts w:asciiTheme="majorHAnsi" w:hAnsiTheme="majorHAnsi"/>
          <w:sz w:val="22"/>
          <w:szCs w:val="22"/>
          <w:lang w:val="el-GR"/>
        </w:rPr>
      </w:pPr>
      <w:r w:rsidRPr="00E26A71">
        <w:rPr>
          <w:rFonts w:asciiTheme="majorHAnsi" w:hAnsiTheme="majorHAnsi"/>
          <w:sz w:val="22"/>
          <w:szCs w:val="22"/>
          <w:lang w:val="el-GR"/>
        </w:rPr>
        <w:t xml:space="preserve">Η παρούσα έρευνα επικεντρώνεται στον νομό Καρδίτσας, διερευνώντας τη σχέση μεταξύ του μορφωτικού και οικονομικού επιπέδου των μητέρων και της εμπλοκής τους στη σχολική εκπαίδευση των παιδιών τους σε επίπεδο δημοτικού σχολείου. Σκοπός της </w:t>
      </w:r>
      <w:r w:rsidR="003C5F81" w:rsidRPr="00E26A71">
        <w:rPr>
          <w:rFonts w:asciiTheme="majorHAnsi" w:hAnsiTheme="majorHAnsi"/>
          <w:sz w:val="22"/>
          <w:szCs w:val="22"/>
          <w:lang w:val="el-GR"/>
        </w:rPr>
        <w:t xml:space="preserve">έρευνας </w:t>
      </w:r>
      <w:r w:rsidRPr="00E26A71">
        <w:rPr>
          <w:rFonts w:asciiTheme="majorHAnsi" w:hAnsiTheme="majorHAnsi"/>
          <w:sz w:val="22"/>
          <w:szCs w:val="22"/>
          <w:lang w:val="el-GR"/>
        </w:rPr>
        <w:t xml:space="preserve">είναι να </w:t>
      </w:r>
      <w:r w:rsidR="003C5F81" w:rsidRPr="00E26A71">
        <w:rPr>
          <w:rFonts w:asciiTheme="majorHAnsi" w:hAnsiTheme="majorHAnsi"/>
          <w:sz w:val="22"/>
          <w:szCs w:val="22"/>
          <w:lang w:val="el-GR"/>
        </w:rPr>
        <w:t>διερευνήσει</w:t>
      </w:r>
      <w:r w:rsidRPr="00E26A71">
        <w:rPr>
          <w:rFonts w:asciiTheme="majorHAnsi" w:hAnsiTheme="majorHAnsi"/>
          <w:sz w:val="22"/>
          <w:szCs w:val="22"/>
          <w:lang w:val="el-GR"/>
        </w:rPr>
        <w:t xml:space="preserve"> πώς οι κοινωνικοοικονομικές συνθήκες διαμορφώνουν τη συμμετοχή των μητέρων στην εκπαιδευτική διαδικασία και να προσφέρει στοιχεία που θα συμβάλουν στη βελτίωση της συνεργασίας σχολείου-οικογένειας.</w:t>
      </w:r>
      <w:r w:rsidR="002B5244">
        <w:rPr>
          <w:rFonts w:asciiTheme="majorHAnsi" w:hAnsiTheme="majorHAnsi"/>
          <w:sz w:val="22"/>
          <w:szCs w:val="22"/>
          <w:lang w:val="el-GR"/>
        </w:rPr>
        <w:t xml:space="preserve"> </w:t>
      </w:r>
      <w:r w:rsidRPr="00E26A71">
        <w:rPr>
          <w:rFonts w:asciiTheme="majorHAnsi" w:hAnsiTheme="majorHAnsi"/>
          <w:sz w:val="22"/>
          <w:szCs w:val="22"/>
          <w:lang w:val="el-GR"/>
        </w:rPr>
        <w:t>Επιπλέον, η μελέτη εξετάζει τα εμπόδια και τις προκλήσεις που αντιμετωπίζουν οι μητέρες με χαμηλότερο οικονομικό και μορφωτικό επίπεδο, προκειμένου να προταθούν παρεμβάσεις που θα ενισχύσουν τη συμμετοχή τους. Με τον τρόπο αυτό, η έρευνα επιδιώκει να ενισχύσει την κατανόηση της δυναμικής σχολείου</w:t>
      </w:r>
      <w:r w:rsidR="0047629E" w:rsidRPr="00E26A71">
        <w:rPr>
          <w:rFonts w:asciiTheme="majorHAnsi" w:hAnsiTheme="majorHAnsi"/>
          <w:sz w:val="22"/>
          <w:szCs w:val="22"/>
          <w:lang w:val="el-GR"/>
        </w:rPr>
        <w:t xml:space="preserve"> </w:t>
      </w:r>
      <w:r w:rsidRPr="00E26A71">
        <w:rPr>
          <w:rFonts w:asciiTheme="majorHAnsi" w:hAnsiTheme="majorHAnsi"/>
          <w:sz w:val="22"/>
          <w:szCs w:val="22"/>
          <w:lang w:val="el-GR"/>
        </w:rPr>
        <w:t>-</w:t>
      </w:r>
      <w:r w:rsidR="0047629E" w:rsidRPr="00E26A71">
        <w:rPr>
          <w:rFonts w:asciiTheme="majorHAnsi" w:hAnsiTheme="majorHAnsi"/>
          <w:sz w:val="22"/>
          <w:szCs w:val="22"/>
          <w:lang w:val="el-GR"/>
        </w:rPr>
        <w:t xml:space="preserve"> </w:t>
      </w:r>
      <w:r w:rsidRPr="00E26A71">
        <w:rPr>
          <w:rFonts w:asciiTheme="majorHAnsi" w:hAnsiTheme="majorHAnsi"/>
          <w:sz w:val="22"/>
          <w:szCs w:val="22"/>
          <w:lang w:val="el-GR"/>
        </w:rPr>
        <w:t>οικογένειας στον νομό Καρδίτσας και να υποστηρίξει την ισότιμη συμμετοχή όλων των γονέων</w:t>
      </w:r>
      <w:r w:rsidR="00142259">
        <w:rPr>
          <w:rFonts w:asciiTheme="majorHAnsi" w:hAnsiTheme="majorHAnsi"/>
          <w:sz w:val="22"/>
          <w:szCs w:val="22"/>
          <w:lang w:val="el-GR"/>
        </w:rPr>
        <w:t xml:space="preserve"> στη διαδικασία της εκπαίδευσης.</w:t>
      </w:r>
    </w:p>
    <w:p w14:paraId="389AEF46" w14:textId="77777777" w:rsidR="00E97320" w:rsidRPr="00E26A71" w:rsidRDefault="00E97320" w:rsidP="00575F33">
      <w:pPr>
        <w:pStyle w:val="Heading3"/>
        <w:spacing w:beforeLines="240" w:before="576" w:beforeAutospacing="0"/>
        <w:ind w:firstLine="284"/>
        <w:jc w:val="both"/>
        <w:rPr>
          <w:rFonts w:asciiTheme="majorHAnsi" w:eastAsia="Times New Roman" w:hAnsiTheme="majorHAnsi"/>
          <w:sz w:val="22"/>
          <w:szCs w:val="22"/>
          <w:lang w:val="el-GR"/>
        </w:rPr>
      </w:pPr>
      <w:r w:rsidRPr="00E26A71">
        <w:rPr>
          <w:rFonts w:asciiTheme="majorHAnsi" w:eastAsia="Times New Roman" w:hAnsiTheme="majorHAnsi"/>
          <w:sz w:val="22"/>
          <w:szCs w:val="22"/>
          <w:lang w:val="el-GR"/>
        </w:rPr>
        <w:t xml:space="preserve">Το πρόβλημα </w:t>
      </w:r>
    </w:p>
    <w:p w14:paraId="2ADA227A" w14:textId="77777777" w:rsidR="00E97320" w:rsidRPr="00E26A71" w:rsidRDefault="00E97320" w:rsidP="00026893">
      <w:pPr>
        <w:spacing w:before="240"/>
        <w:ind w:firstLine="284"/>
        <w:rPr>
          <w:rFonts w:asciiTheme="majorHAnsi" w:hAnsiTheme="majorHAnsi"/>
          <w:i/>
          <w:sz w:val="22"/>
          <w:szCs w:val="22"/>
          <w:lang w:val="el-GR"/>
        </w:rPr>
      </w:pPr>
      <w:r w:rsidRPr="00E26A71">
        <w:rPr>
          <w:rFonts w:asciiTheme="majorHAnsi" w:hAnsiTheme="majorHAnsi"/>
          <w:i/>
          <w:sz w:val="22"/>
          <w:szCs w:val="22"/>
          <w:lang w:val="el-GR"/>
        </w:rPr>
        <w:t xml:space="preserve"> Διατύπωση προβλήματος</w:t>
      </w:r>
    </w:p>
    <w:p w14:paraId="0D697831" w14:textId="201BD3F1" w:rsidR="00E97320" w:rsidRPr="00E26A71" w:rsidRDefault="00E97320" w:rsidP="003F5D87">
      <w:pPr>
        <w:pStyle w:val="NormalWeb"/>
        <w:ind w:firstLine="284"/>
        <w:contextualSpacing/>
        <w:jc w:val="both"/>
        <w:rPr>
          <w:rFonts w:asciiTheme="majorHAnsi" w:hAnsiTheme="majorHAnsi"/>
          <w:sz w:val="22"/>
          <w:szCs w:val="22"/>
          <w:lang w:val="el-GR"/>
        </w:rPr>
      </w:pPr>
      <w:r w:rsidRPr="00A43E6C">
        <w:rPr>
          <w:rFonts w:asciiTheme="majorHAnsi" w:hAnsiTheme="majorHAnsi"/>
          <w:sz w:val="22"/>
          <w:szCs w:val="22"/>
          <w:lang w:val="el-GR"/>
        </w:rPr>
        <w:t>Η μητρική φροντίδα συνεχίζει</w:t>
      </w:r>
      <w:r w:rsidR="00497096" w:rsidRPr="00A43E6C">
        <w:rPr>
          <w:rFonts w:asciiTheme="majorHAnsi" w:hAnsiTheme="majorHAnsi"/>
          <w:sz w:val="22"/>
          <w:szCs w:val="22"/>
          <w:lang w:val="el-GR"/>
        </w:rPr>
        <w:t>, μέχρι και σήμερα,</w:t>
      </w:r>
      <w:r w:rsidRPr="00A43E6C">
        <w:rPr>
          <w:rFonts w:asciiTheme="majorHAnsi" w:hAnsiTheme="majorHAnsi"/>
          <w:sz w:val="22"/>
          <w:szCs w:val="22"/>
          <w:lang w:val="el-GR"/>
        </w:rPr>
        <w:t xml:space="preserve"> να διαδραματίζει καίριο ρόλο στις σύγχρονες κοινωνίες, καθώς οι μητέρες συμμετέχουν περισσότερο σε εκπαιδευτικές δραστηριότητες με τα παιδιά τους σε σύγκριση με τους πατέρες </w:t>
      </w:r>
      <w:r w:rsidRPr="00A43E6C">
        <w:rPr>
          <w:rFonts w:asciiTheme="majorHAnsi" w:hAnsiTheme="majorHAnsi"/>
          <w:sz w:val="22"/>
          <w:szCs w:val="22"/>
          <w:highlight w:val="red"/>
          <w:lang w:val="el-GR"/>
        </w:rPr>
        <w:t>(</w:t>
      </w:r>
      <w:r w:rsidRPr="00A43E6C">
        <w:rPr>
          <w:rFonts w:asciiTheme="majorHAnsi" w:hAnsiTheme="majorHAnsi"/>
          <w:sz w:val="22"/>
          <w:szCs w:val="22"/>
          <w:highlight w:val="red"/>
        </w:rPr>
        <w:t>Al</w:t>
      </w:r>
      <w:r w:rsidRPr="00A43E6C">
        <w:rPr>
          <w:rFonts w:asciiTheme="majorHAnsi" w:hAnsiTheme="majorHAnsi"/>
          <w:sz w:val="22"/>
          <w:szCs w:val="22"/>
          <w:highlight w:val="red"/>
          <w:lang w:val="el-GR"/>
        </w:rPr>
        <w:t>-</w:t>
      </w:r>
      <w:r w:rsidRPr="00A43E6C">
        <w:rPr>
          <w:rFonts w:asciiTheme="majorHAnsi" w:hAnsiTheme="majorHAnsi"/>
          <w:sz w:val="22"/>
          <w:szCs w:val="22"/>
          <w:highlight w:val="red"/>
        </w:rPr>
        <w:t>deen</w:t>
      </w:r>
      <w:r w:rsidR="00111045" w:rsidRPr="00A43E6C">
        <w:rPr>
          <w:rFonts w:asciiTheme="majorHAnsi" w:hAnsiTheme="majorHAnsi"/>
          <w:sz w:val="22"/>
          <w:szCs w:val="22"/>
          <w:highlight w:val="red"/>
          <w:lang w:val="el-GR"/>
        </w:rPr>
        <w:t>, 2019·</w:t>
      </w:r>
      <w:r w:rsidR="00FA2715" w:rsidRPr="00A43E6C">
        <w:rPr>
          <w:rFonts w:asciiTheme="majorHAnsi" w:hAnsiTheme="majorHAnsi"/>
          <w:color w:val="000000"/>
          <w:sz w:val="22"/>
          <w:szCs w:val="22"/>
          <w:highlight w:val="red"/>
        </w:rPr>
        <w:t xml:space="preserve"> Kule Ashirafu, &amp; Turyamureeba, 2024</w:t>
      </w:r>
      <w:r w:rsidR="00111045" w:rsidRPr="00A43E6C">
        <w:rPr>
          <w:rFonts w:asciiTheme="majorHAnsi" w:hAnsiTheme="majorHAnsi"/>
          <w:color w:val="000000"/>
          <w:sz w:val="22"/>
          <w:szCs w:val="22"/>
          <w:highlight w:val="red"/>
          <w:lang w:val="el-GR"/>
        </w:rPr>
        <w:t>)</w:t>
      </w:r>
      <w:r w:rsidR="00111045" w:rsidRPr="00A43E6C">
        <w:rPr>
          <w:rFonts w:asciiTheme="majorHAnsi" w:hAnsiTheme="majorHAnsi"/>
          <w:sz w:val="22"/>
          <w:szCs w:val="22"/>
          <w:highlight w:val="red"/>
          <w:lang w:val="el-GR"/>
        </w:rPr>
        <w:t>.</w:t>
      </w:r>
      <w:r w:rsidRPr="00E26A71">
        <w:rPr>
          <w:rFonts w:asciiTheme="majorHAnsi" w:hAnsiTheme="majorHAnsi"/>
          <w:sz w:val="22"/>
          <w:szCs w:val="22"/>
          <w:lang w:val="el-GR"/>
        </w:rPr>
        <w:t xml:space="preserve"> Ωστόσο, παρά την αναγνώριση του σημαντικού ρόλου τους, υπάρχουν </w:t>
      </w:r>
      <w:r w:rsidR="003C5F81" w:rsidRPr="00E26A71">
        <w:rPr>
          <w:rFonts w:asciiTheme="majorHAnsi" w:hAnsiTheme="majorHAnsi"/>
          <w:sz w:val="22"/>
          <w:szCs w:val="22"/>
          <w:lang w:val="el-GR"/>
        </w:rPr>
        <w:t>αξιοσημείωτες</w:t>
      </w:r>
      <w:r w:rsidRPr="00E26A71">
        <w:rPr>
          <w:rFonts w:asciiTheme="majorHAnsi" w:hAnsiTheme="majorHAnsi"/>
          <w:sz w:val="22"/>
          <w:szCs w:val="22"/>
          <w:lang w:val="el-GR"/>
        </w:rPr>
        <w:t xml:space="preserve"> διαφοροποιήσεις ως προς τον βαθμό εμπλοκής τους στη σχολική εκπαίδευση των παιδιών τους, οι οποίες επηρεάζονται από κοινωνικοοικονομικούς και πολιτισμικούς παράγοντες (</w:t>
      </w:r>
      <w:r w:rsidR="00E761A2" w:rsidRPr="00E761A2">
        <w:rPr>
          <w:rFonts w:asciiTheme="majorHAnsi" w:hAnsiTheme="majorHAnsi"/>
          <w:sz w:val="22"/>
          <w:szCs w:val="22"/>
        </w:rPr>
        <w:t>Auerbach</w:t>
      </w:r>
      <w:r w:rsidR="00E761A2" w:rsidRPr="00E26A71">
        <w:rPr>
          <w:rFonts w:asciiTheme="majorHAnsi" w:hAnsiTheme="majorHAnsi"/>
          <w:sz w:val="22"/>
          <w:szCs w:val="22"/>
          <w:lang w:val="el-GR"/>
        </w:rPr>
        <w:t xml:space="preserve"> &amp; </w:t>
      </w:r>
      <w:r w:rsidR="00E761A2" w:rsidRPr="00E761A2">
        <w:rPr>
          <w:rFonts w:asciiTheme="majorHAnsi" w:hAnsiTheme="majorHAnsi"/>
          <w:sz w:val="22"/>
          <w:szCs w:val="22"/>
        </w:rPr>
        <w:t>Collier</w:t>
      </w:r>
      <w:r w:rsidR="00E761A2" w:rsidRPr="00E26A71">
        <w:rPr>
          <w:rFonts w:asciiTheme="majorHAnsi" w:hAnsiTheme="majorHAnsi"/>
          <w:sz w:val="22"/>
          <w:szCs w:val="22"/>
          <w:lang w:val="el-GR"/>
        </w:rPr>
        <w:t>, 2021).</w:t>
      </w:r>
    </w:p>
    <w:p w14:paraId="0559F781" w14:textId="5D19C503" w:rsidR="00331C85" w:rsidRPr="00303694" w:rsidRDefault="00497096" w:rsidP="00303694">
      <w:pPr>
        <w:pStyle w:val="NormalWeb"/>
        <w:ind w:firstLine="284"/>
        <w:contextualSpacing/>
        <w:jc w:val="both"/>
        <w:rPr>
          <w:rFonts w:asciiTheme="majorHAnsi" w:hAnsiTheme="majorHAnsi"/>
          <w:sz w:val="22"/>
          <w:szCs w:val="22"/>
          <w:lang w:val="el-GR"/>
        </w:rPr>
      </w:pPr>
      <w:r w:rsidRPr="00A43E6C">
        <w:rPr>
          <w:rFonts w:asciiTheme="majorHAnsi" w:hAnsiTheme="majorHAnsi"/>
          <w:sz w:val="22"/>
          <w:szCs w:val="22"/>
          <w:highlight w:val="red"/>
          <w:lang w:val="el-GR"/>
        </w:rPr>
        <w:t>Η μελέτη του</w:t>
      </w:r>
      <w:r w:rsidR="00E97320" w:rsidRPr="00A43E6C">
        <w:rPr>
          <w:rFonts w:asciiTheme="majorHAnsi" w:hAnsiTheme="majorHAnsi"/>
          <w:sz w:val="22"/>
          <w:szCs w:val="22"/>
          <w:highlight w:val="red"/>
          <w:lang w:val="el-GR"/>
        </w:rPr>
        <w:t xml:space="preserve"> </w:t>
      </w:r>
      <w:r w:rsidRPr="00A43E6C">
        <w:rPr>
          <w:rFonts w:asciiTheme="majorHAnsi" w:hAnsiTheme="majorHAnsi"/>
          <w:sz w:val="22"/>
          <w:szCs w:val="22"/>
          <w:highlight w:val="red"/>
        </w:rPr>
        <w:t>Al</w:t>
      </w:r>
      <w:r w:rsidRPr="00A43E6C">
        <w:rPr>
          <w:rFonts w:asciiTheme="majorHAnsi" w:hAnsiTheme="majorHAnsi"/>
          <w:sz w:val="22"/>
          <w:szCs w:val="22"/>
          <w:highlight w:val="red"/>
          <w:lang w:val="el-GR"/>
        </w:rPr>
        <w:t>-</w:t>
      </w:r>
      <w:r w:rsidRPr="00A43E6C">
        <w:rPr>
          <w:rFonts w:asciiTheme="majorHAnsi" w:hAnsiTheme="majorHAnsi"/>
          <w:sz w:val="22"/>
          <w:szCs w:val="22"/>
          <w:highlight w:val="red"/>
        </w:rPr>
        <w:t>deen</w:t>
      </w:r>
      <w:r w:rsidRPr="00A43E6C">
        <w:rPr>
          <w:rFonts w:asciiTheme="majorHAnsi" w:hAnsiTheme="majorHAnsi"/>
          <w:sz w:val="22"/>
          <w:szCs w:val="22"/>
          <w:highlight w:val="red"/>
          <w:lang w:val="el-GR"/>
        </w:rPr>
        <w:t xml:space="preserve"> (2019) υποστηρίζει</w:t>
      </w:r>
      <w:r w:rsidRPr="00E26A71">
        <w:rPr>
          <w:rFonts w:asciiTheme="majorHAnsi" w:hAnsiTheme="majorHAnsi"/>
          <w:sz w:val="22"/>
          <w:szCs w:val="22"/>
          <w:lang w:val="el-GR"/>
        </w:rPr>
        <w:t xml:space="preserve"> </w:t>
      </w:r>
      <w:r w:rsidR="00E97320" w:rsidRPr="00E26A71">
        <w:rPr>
          <w:rFonts w:asciiTheme="majorHAnsi" w:hAnsiTheme="majorHAnsi"/>
          <w:sz w:val="22"/>
          <w:szCs w:val="22"/>
          <w:lang w:val="el-GR"/>
        </w:rPr>
        <w:t>ότι οι μητέρες με υψηλό μορφωτικό επίπεδο έχουν τη δυνατότητα να βοηθούν τα παιδιά τους στην προετοιμασία των μαθημάτων τους, σε αντίθεση με εκείνες που έχου</w:t>
      </w:r>
      <w:r>
        <w:rPr>
          <w:rFonts w:asciiTheme="majorHAnsi" w:hAnsiTheme="majorHAnsi"/>
          <w:sz w:val="22"/>
          <w:szCs w:val="22"/>
          <w:lang w:val="el-GR"/>
        </w:rPr>
        <w:t xml:space="preserve">ν χαμηλότερο μορφωτικό επίπεδο. </w:t>
      </w:r>
      <w:r w:rsidR="00E97320" w:rsidRPr="00E26A71">
        <w:rPr>
          <w:rFonts w:asciiTheme="majorHAnsi" w:hAnsiTheme="majorHAnsi"/>
          <w:sz w:val="22"/>
          <w:szCs w:val="22"/>
          <w:lang w:val="el-GR"/>
        </w:rPr>
        <w:t>Αντίστοιχα, οι μητέρες με ανώτερη οικονομική κατάσταση παρέχουν περισσότερες εξωσχολικές ευκαιρίες και εμπειρίες στα παιδιά τους, ενώ εκείνες με χαμηλότερο οικονομικό επίπεδο συχνά αδυνατούν να το πράξουν, λόγω περιορισμένων πόρων ή χρόνου (</w:t>
      </w:r>
      <w:r w:rsidR="00E761A2" w:rsidRPr="00E761A2">
        <w:rPr>
          <w:rFonts w:asciiTheme="majorHAnsi" w:hAnsiTheme="majorHAnsi"/>
          <w:sz w:val="22"/>
          <w:szCs w:val="22"/>
        </w:rPr>
        <w:t>Brown</w:t>
      </w:r>
      <w:r w:rsidR="00E761A2" w:rsidRPr="00E26A71">
        <w:rPr>
          <w:rFonts w:asciiTheme="majorHAnsi" w:hAnsiTheme="majorHAnsi"/>
          <w:sz w:val="22"/>
          <w:szCs w:val="22"/>
          <w:lang w:val="el-GR"/>
        </w:rPr>
        <w:t xml:space="preserve">, &amp; </w:t>
      </w:r>
      <w:r w:rsidR="00E761A2" w:rsidRPr="00E761A2">
        <w:rPr>
          <w:rFonts w:asciiTheme="majorHAnsi" w:hAnsiTheme="majorHAnsi"/>
          <w:sz w:val="22"/>
          <w:szCs w:val="22"/>
        </w:rPr>
        <w:t>Smith</w:t>
      </w:r>
      <w:r w:rsidR="00E761A2" w:rsidRPr="00E26A71">
        <w:rPr>
          <w:rFonts w:asciiTheme="majorHAnsi" w:hAnsiTheme="majorHAnsi"/>
          <w:sz w:val="22"/>
          <w:szCs w:val="22"/>
          <w:lang w:val="el-GR"/>
        </w:rPr>
        <w:t>, 2022).</w:t>
      </w:r>
      <w:r w:rsidR="001038FA" w:rsidRPr="00E26A71">
        <w:rPr>
          <w:rFonts w:asciiTheme="majorHAnsi" w:hAnsiTheme="majorHAnsi"/>
          <w:sz w:val="22"/>
          <w:szCs w:val="22"/>
          <w:lang w:val="el-GR"/>
        </w:rPr>
        <w:t xml:space="preserve"> </w:t>
      </w:r>
      <w:r w:rsidR="00E97320" w:rsidRPr="00E26A71">
        <w:rPr>
          <w:rFonts w:asciiTheme="majorHAnsi" w:hAnsiTheme="majorHAnsi"/>
          <w:sz w:val="22"/>
          <w:szCs w:val="22"/>
          <w:lang w:val="el-GR"/>
        </w:rPr>
        <w:t>Σημαντική είναι και η επίδραση της κοινωνικής προέλευσης της μητέρας, η οποία επηρεάζει τη στάση της απέναντι στην εκπαίδευση και την πρόθεσή της να συμμετέχει ή όχι στην εκπαιδευτική διαδικασία των παιδιών της (</w:t>
      </w:r>
      <w:r w:rsidR="0019723B">
        <w:rPr>
          <w:rFonts w:asciiTheme="majorHAnsi" w:hAnsiTheme="majorHAnsi"/>
          <w:color w:val="000000"/>
          <w:sz w:val="22"/>
          <w:szCs w:val="22"/>
        </w:rPr>
        <w:t>Xiong</w:t>
      </w:r>
      <w:r w:rsidR="0019723B" w:rsidRPr="00E26A71">
        <w:rPr>
          <w:rFonts w:asciiTheme="majorHAnsi" w:hAnsiTheme="majorHAnsi"/>
          <w:color w:val="000000"/>
          <w:sz w:val="22"/>
          <w:szCs w:val="22"/>
          <w:lang w:val="el-GR"/>
        </w:rPr>
        <w:t xml:space="preserve"> </w:t>
      </w:r>
      <w:r w:rsidR="0019723B">
        <w:rPr>
          <w:rFonts w:asciiTheme="majorHAnsi" w:hAnsiTheme="majorHAnsi"/>
          <w:color w:val="000000"/>
          <w:sz w:val="22"/>
          <w:szCs w:val="22"/>
        </w:rPr>
        <w:t>et</w:t>
      </w:r>
      <w:r w:rsidR="0019723B" w:rsidRPr="00E26A71">
        <w:rPr>
          <w:rFonts w:asciiTheme="majorHAnsi" w:hAnsiTheme="majorHAnsi"/>
          <w:color w:val="000000"/>
          <w:sz w:val="22"/>
          <w:szCs w:val="22"/>
          <w:lang w:val="el-GR"/>
        </w:rPr>
        <w:t xml:space="preserve"> </w:t>
      </w:r>
      <w:r w:rsidR="0019723B">
        <w:rPr>
          <w:rFonts w:asciiTheme="majorHAnsi" w:hAnsiTheme="majorHAnsi"/>
          <w:color w:val="000000"/>
          <w:sz w:val="22"/>
          <w:szCs w:val="22"/>
        </w:rPr>
        <w:t>al</w:t>
      </w:r>
      <w:r w:rsidR="0019723B" w:rsidRPr="00E26A71">
        <w:rPr>
          <w:rFonts w:asciiTheme="majorHAnsi" w:hAnsiTheme="majorHAnsi"/>
          <w:color w:val="000000"/>
          <w:sz w:val="22"/>
          <w:szCs w:val="22"/>
          <w:lang w:val="el-GR"/>
        </w:rPr>
        <w:t>., 2023).</w:t>
      </w:r>
    </w:p>
    <w:p w14:paraId="6CE99CD4" w14:textId="232C386B" w:rsidR="006A2D5B" w:rsidRPr="00906BA4" w:rsidRDefault="00E97320" w:rsidP="006A2D5B">
      <w:pPr>
        <w:spacing w:beforeLines="240" w:before="576"/>
        <w:ind w:firstLine="284"/>
        <w:rPr>
          <w:b/>
          <w:sz w:val="22"/>
          <w:szCs w:val="22"/>
          <w:lang w:val="el-GR"/>
        </w:rPr>
      </w:pPr>
      <w:r w:rsidRPr="00761B16">
        <w:rPr>
          <w:b/>
          <w:sz w:val="22"/>
          <w:szCs w:val="22"/>
          <w:highlight w:val="red"/>
          <w:lang w:val="el-GR"/>
        </w:rPr>
        <w:lastRenderedPageBreak/>
        <w:t>Αναγκαιότητα έρευνας</w:t>
      </w:r>
      <w:r w:rsidR="00497096" w:rsidRPr="00761B16">
        <w:rPr>
          <w:b/>
          <w:sz w:val="22"/>
          <w:szCs w:val="22"/>
          <w:highlight w:val="red"/>
          <w:lang w:val="el-GR"/>
        </w:rPr>
        <w:t xml:space="preserve"> και Σημαντικότητα </w:t>
      </w:r>
      <w:r w:rsidR="006A2D5B" w:rsidRPr="00761B16">
        <w:rPr>
          <w:b/>
          <w:sz w:val="22"/>
          <w:szCs w:val="22"/>
          <w:highlight w:val="red"/>
          <w:lang w:val="el-GR"/>
        </w:rPr>
        <w:t>έρευνας</w:t>
      </w:r>
    </w:p>
    <w:p w14:paraId="0B9DB98D" w14:textId="6AF650A6" w:rsidR="00906BA4" w:rsidRDefault="009D4946" w:rsidP="006A2D5B">
      <w:pPr>
        <w:spacing w:before="240"/>
        <w:ind w:firstLine="284"/>
        <w:jc w:val="both"/>
        <w:rPr>
          <w:rFonts w:asciiTheme="majorHAnsi" w:eastAsia="Times New Roman" w:hAnsiTheme="majorHAnsi"/>
          <w:sz w:val="22"/>
          <w:szCs w:val="22"/>
        </w:rPr>
      </w:pPr>
      <w:r w:rsidRPr="00761B16">
        <w:rPr>
          <w:rFonts w:asciiTheme="majorHAnsi" w:hAnsiTheme="majorHAnsi"/>
          <w:sz w:val="22"/>
          <w:szCs w:val="22"/>
          <w:highlight w:val="red"/>
          <w:lang w:val="el-GR"/>
        </w:rPr>
        <w:t>Η π</w:t>
      </w:r>
      <w:r w:rsidR="00433A4F" w:rsidRPr="00761B16">
        <w:rPr>
          <w:rFonts w:asciiTheme="majorHAnsi" w:hAnsiTheme="majorHAnsi"/>
          <w:sz w:val="22"/>
          <w:szCs w:val="22"/>
          <w:highlight w:val="red"/>
          <w:lang w:val="el-GR"/>
        </w:rPr>
        <w:t>ροηγούμενη έρευνα</w:t>
      </w:r>
      <w:r w:rsidR="00E97320" w:rsidRPr="00761B16">
        <w:rPr>
          <w:rFonts w:asciiTheme="majorHAnsi" w:hAnsiTheme="majorHAnsi"/>
          <w:sz w:val="22"/>
          <w:szCs w:val="22"/>
          <w:highlight w:val="red"/>
          <w:lang w:val="el-GR"/>
        </w:rPr>
        <w:t xml:space="preserve">, των </w:t>
      </w:r>
      <w:r w:rsidR="0019723B" w:rsidRPr="00761B16">
        <w:rPr>
          <w:rFonts w:asciiTheme="majorHAnsi" w:hAnsiTheme="majorHAnsi"/>
          <w:color w:val="000000"/>
          <w:sz w:val="22"/>
          <w:szCs w:val="22"/>
          <w:highlight w:val="red"/>
        </w:rPr>
        <w:t>Xiong</w:t>
      </w:r>
      <w:r w:rsidR="0019723B" w:rsidRPr="00761B16">
        <w:rPr>
          <w:rFonts w:asciiTheme="majorHAnsi" w:hAnsiTheme="majorHAnsi"/>
          <w:color w:val="000000"/>
          <w:sz w:val="22"/>
          <w:szCs w:val="22"/>
          <w:highlight w:val="red"/>
          <w:lang w:val="el-GR"/>
        </w:rPr>
        <w:t xml:space="preserve"> </w:t>
      </w:r>
      <w:r w:rsidR="0019723B" w:rsidRPr="00761B16">
        <w:rPr>
          <w:rFonts w:asciiTheme="majorHAnsi" w:hAnsiTheme="majorHAnsi"/>
          <w:color w:val="000000"/>
          <w:sz w:val="22"/>
          <w:szCs w:val="22"/>
          <w:highlight w:val="red"/>
        </w:rPr>
        <w:t>et</w:t>
      </w:r>
      <w:r w:rsidR="0019723B" w:rsidRPr="00761B16">
        <w:rPr>
          <w:rFonts w:asciiTheme="majorHAnsi" w:hAnsiTheme="majorHAnsi"/>
          <w:color w:val="000000"/>
          <w:sz w:val="22"/>
          <w:szCs w:val="22"/>
          <w:highlight w:val="red"/>
          <w:lang w:val="el-GR"/>
        </w:rPr>
        <w:t xml:space="preserve"> </w:t>
      </w:r>
      <w:r w:rsidR="0019723B" w:rsidRPr="00761B16">
        <w:rPr>
          <w:rFonts w:asciiTheme="majorHAnsi" w:hAnsiTheme="majorHAnsi"/>
          <w:color w:val="000000"/>
          <w:sz w:val="22"/>
          <w:szCs w:val="22"/>
          <w:highlight w:val="red"/>
        </w:rPr>
        <w:t>al</w:t>
      </w:r>
      <w:r w:rsidR="0019723B" w:rsidRPr="00761B16">
        <w:rPr>
          <w:rFonts w:asciiTheme="majorHAnsi" w:hAnsiTheme="majorHAnsi"/>
          <w:color w:val="000000"/>
          <w:sz w:val="22"/>
          <w:szCs w:val="22"/>
          <w:highlight w:val="red"/>
          <w:lang w:val="el-GR"/>
        </w:rPr>
        <w:t xml:space="preserve">. </w:t>
      </w:r>
      <w:r w:rsidR="00331C85" w:rsidRPr="00761B16">
        <w:rPr>
          <w:rFonts w:asciiTheme="majorHAnsi" w:hAnsiTheme="majorHAnsi"/>
          <w:sz w:val="22"/>
          <w:szCs w:val="22"/>
          <w:highlight w:val="red"/>
          <w:lang w:val="el-GR"/>
        </w:rPr>
        <w:t>(</w:t>
      </w:r>
      <w:r w:rsidR="0019723B" w:rsidRPr="00761B16">
        <w:rPr>
          <w:rFonts w:asciiTheme="majorHAnsi" w:hAnsiTheme="majorHAnsi"/>
          <w:sz w:val="22"/>
          <w:szCs w:val="22"/>
          <w:highlight w:val="red"/>
          <w:lang w:val="el-GR"/>
        </w:rPr>
        <w:t>2023</w:t>
      </w:r>
      <w:r w:rsidR="00331C85" w:rsidRPr="00906BA4">
        <w:rPr>
          <w:rFonts w:asciiTheme="majorHAnsi" w:hAnsiTheme="majorHAnsi"/>
          <w:sz w:val="22"/>
          <w:szCs w:val="22"/>
          <w:lang w:val="el-GR"/>
        </w:rPr>
        <w:t>)</w:t>
      </w:r>
      <w:r w:rsidRPr="00906BA4">
        <w:rPr>
          <w:rFonts w:asciiTheme="majorHAnsi" w:hAnsiTheme="majorHAnsi"/>
          <w:sz w:val="22"/>
          <w:szCs w:val="22"/>
          <w:lang w:val="el-GR"/>
        </w:rPr>
        <w:t xml:space="preserve"> έχει</w:t>
      </w:r>
      <w:r w:rsidR="00E97320" w:rsidRPr="00906BA4">
        <w:rPr>
          <w:rFonts w:asciiTheme="majorHAnsi" w:hAnsiTheme="majorHAnsi"/>
          <w:sz w:val="22"/>
          <w:szCs w:val="22"/>
          <w:lang w:val="el-GR"/>
        </w:rPr>
        <w:t xml:space="preserve"> καταδείξει ισχυρή συσχέτιση μεταξύ μορφωτικού επιπέδου και εμπλοκής των μητέρων στη σχολική εκπαίδευση. Ωστόσο, τα ευρήματα για τη σχέση του οικονομικού επιπέδου με την εμπλοκή παραμένουν αντιφατικά. Κάποιες μελέτες υποστηρίζουν ότι οι εργαζόμενες μητέρες με υψηλό εισόδημα εμπλέκονται περισσότερο σε δραστηριότητες όπως εκπαιδευτικές εκδρομές, ενώ άλλες δείχνουν ότι το χαμηλό εισόδημα αποτελεί εμπόδιο λόγω αυξημέ</w:t>
      </w:r>
      <w:r w:rsidR="00F62F66" w:rsidRPr="00906BA4">
        <w:rPr>
          <w:rFonts w:asciiTheme="majorHAnsi" w:hAnsiTheme="majorHAnsi"/>
          <w:sz w:val="22"/>
          <w:szCs w:val="22"/>
          <w:lang w:val="el-GR"/>
        </w:rPr>
        <w:t>νων επαγγελματικών υποχρεώσεων (</w:t>
      </w:r>
      <w:r w:rsidR="006F55FB" w:rsidRPr="00B509C8">
        <w:rPr>
          <w:rFonts w:asciiTheme="majorHAnsi" w:hAnsiTheme="majorHAnsi" w:cs="Times New Roman"/>
          <w:color w:val="000000"/>
          <w:sz w:val="22"/>
          <w:szCs w:val="22"/>
        </w:rPr>
        <w:t>Kule Ashirafu</w:t>
      </w:r>
      <w:r w:rsidR="006F55FB">
        <w:rPr>
          <w:rFonts w:asciiTheme="majorHAnsi" w:hAnsiTheme="majorHAnsi"/>
          <w:color w:val="000000"/>
          <w:sz w:val="22"/>
          <w:szCs w:val="22"/>
        </w:rPr>
        <w:t>,</w:t>
      </w:r>
      <w:r w:rsidR="006F55FB" w:rsidRPr="00B509C8">
        <w:rPr>
          <w:rFonts w:asciiTheme="majorHAnsi" w:hAnsiTheme="majorHAnsi" w:cs="Times New Roman"/>
          <w:color w:val="000000"/>
          <w:sz w:val="22"/>
          <w:szCs w:val="22"/>
        </w:rPr>
        <w:t xml:space="preserve"> &amp; Turyamureeba</w:t>
      </w:r>
      <w:r w:rsidR="006F55FB">
        <w:rPr>
          <w:rFonts w:asciiTheme="majorHAnsi" w:hAnsiTheme="majorHAnsi"/>
          <w:color w:val="000000"/>
          <w:sz w:val="22"/>
          <w:szCs w:val="22"/>
        </w:rPr>
        <w:t>, 2024</w:t>
      </w:r>
      <w:r w:rsidR="00F62F66" w:rsidRPr="00906BA4">
        <w:rPr>
          <w:rFonts w:asciiTheme="majorHAnsi" w:hAnsiTheme="majorHAnsi"/>
          <w:color w:val="000000"/>
          <w:sz w:val="22"/>
          <w:szCs w:val="22"/>
          <w:lang w:val="el-GR"/>
        </w:rPr>
        <w:t xml:space="preserve">). </w:t>
      </w:r>
      <w:r w:rsidR="00E97320" w:rsidRPr="00906BA4">
        <w:rPr>
          <w:rFonts w:asciiTheme="majorHAnsi" w:hAnsiTheme="majorHAnsi"/>
          <w:sz w:val="22"/>
          <w:szCs w:val="22"/>
          <w:lang w:val="el-GR"/>
        </w:rPr>
        <w:t>Η παρούσα έρευνα αναδεικνύει την ανάγκη περαιτέρω διερεύνησης αυτού του ζητήματος.</w:t>
      </w:r>
      <w:r w:rsidR="00F36002" w:rsidRPr="00906BA4">
        <w:rPr>
          <w:rFonts w:asciiTheme="majorHAnsi" w:hAnsiTheme="majorHAnsi"/>
          <w:color w:val="000000"/>
          <w:sz w:val="22"/>
          <w:szCs w:val="22"/>
          <w:lang w:val="el-GR"/>
        </w:rPr>
        <w:t xml:space="preserve"> Ακόμη, δεν έχει πραγματοποιηθεί αντίστοιχη έρευνα στον νομό της Καρδίτσας, οπότε η εν λόγω μελέτη είναι αναγκαία.</w:t>
      </w:r>
      <w:r w:rsidR="00906BA4" w:rsidRPr="00906BA4">
        <w:rPr>
          <w:rFonts w:asciiTheme="majorHAnsi" w:eastAsia="Times New Roman" w:hAnsiTheme="majorHAnsi"/>
          <w:sz w:val="22"/>
          <w:szCs w:val="22"/>
        </w:rPr>
        <w:t xml:space="preserve"> </w:t>
      </w:r>
    </w:p>
    <w:p w14:paraId="640453E4" w14:textId="3CE40B1F" w:rsidR="002D77BB" w:rsidRPr="00906BA4" w:rsidRDefault="00906BA4" w:rsidP="00906BA4">
      <w:pPr>
        <w:spacing w:before="240"/>
        <w:ind w:firstLine="284"/>
        <w:contextualSpacing/>
        <w:jc w:val="both"/>
        <w:rPr>
          <w:rFonts w:asciiTheme="majorHAnsi" w:eastAsia="Times New Roman" w:hAnsiTheme="majorHAnsi" w:cs="Times New Roman"/>
          <w:sz w:val="22"/>
          <w:szCs w:val="22"/>
        </w:rPr>
      </w:pPr>
      <w:r w:rsidRPr="00906BA4">
        <w:rPr>
          <w:rFonts w:asciiTheme="majorHAnsi" w:eastAsia="Times New Roman" w:hAnsiTheme="majorHAnsi" w:cs="Times New Roman"/>
          <w:sz w:val="22"/>
          <w:szCs w:val="22"/>
        </w:rPr>
        <w:t xml:space="preserve">Η συμμετοχή των μητέρων στη σχολική εκπαίδευση ενισχύει τη γνωστική ανάπτυξη των παιδιών στις πρώτες τάξεις του δημοτικού (Jackson et al., 2017). </w:t>
      </w:r>
      <w:r w:rsidRPr="00761B16">
        <w:rPr>
          <w:rFonts w:asciiTheme="majorHAnsi" w:eastAsia="Times New Roman" w:hAnsiTheme="majorHAnsi" w:cs="Times New Roman"/>
          <w:sz w:val="22"/>
          <w:szCs w:val="22"/>
          <w:highlight w:val="red"/>
        </w:rPr>
        <w:t>Η έρευνα συμβάλλει</w:t>
      </w:r>
      <w:r w:rsidRPr="00906BA4">
        <w:rPr>
          <w:rFonts w:asciiTheme="majorHAnsi" w:eastAsia="Times New Roman" w:hAnsiTheme="majorHAnsi" w:cs="Times New Roman"/>
          <w:sz w:val="22"/>
          <w:szCs w:val="22"/>
        </w:rPr>
        <w:t xml:space="preserve"> στη βελτίωση της συνεργασίας σχολείου-οικογένειας και υπογραμμίζει τη μακροπρόθεσμη επίδραση της εκπαίδευσης των μητέρων στην προσωπική και κοινωνική ανάπτυξη των παιδιών (Xiong et al., 2023).</w:t>
      </w:r>
    </w:p>
    <w:p w14:paraId="48742F03" w14:textId="77777777" w:rsidR="00D678E9" w:rsidRPr="00E26A71" w:rsidRDefault="00D678E9" w:rsidP="00575F33">
      <w:pPr>
        <w:spacing w:beforeLines="240" w:before="576"/>
        <w:ind w:firstLine="284"/>
        <w:rPr>
          <w:b/>
          <w:sz w:val="22"/>
          <w:szCs w:val="22"/>
          <w:lang w:val="el-GR"/>
        </w:rPr>
      </w:pPr>
      <w:r w:rsidRPr="00E26A71">
        <w:rPr>
          <w:b/>
          <w:sz w:val="22"/>
          <w:szCs w:val="22"/>
          <w:lang w:val="el-GR"/>
        </w:rPr>
        <w:t xml:space="preserve">Ανασκόπηση Βιβλιογραφίας </w:t>
      </w:r>
    </w:p>
    <w:p w14:paraId="2C3C68D9" w14:textId="77777777" w:rsidR="00D47E2B" w:rsidRDefault="00D47E2B" w:rsidP="00026893">
      <w:pPr>
        <w:spacing w:before="240"/>
        <w:ind w:firstLine="284"/>
        <w:rPr>
          <w:i/>
          <w:sz w:val="22"/>
          <w:szCs w:val="22"/>
          <w:lang w:val="el-GR"/>
        </w:rPr>
      </w:pPr>
      <w:r w:rsidRPr="00E26A71">
        <w:rPr>
          <w:i/>
          <w:sz w:val="22"/>
          <w:szCs w:val="22"/>
          <w:lang w:val="el-GR"/>
        </w:rPr>
        <w:t>Εισαγωγή</w:t>
      </w:r>
    </w:p>
    <w:p w14:paraId="3EC4D640" w14:textId="77777777" w:rsidR="00303694" w:rsidRPr="00E26A71" w:rsidRDefault="00303694" w:rsidP="00026893">
      <w:pPr>
        <w:spacing w:before="240"/>
        <w:ind w:firstLine="284"/>
        <w:rPr>
          <w:i/>
          <w:sz w:val="22"/>
          <w:szCs w:val="22"/>
          <w:lang w:val="el-GR"/>
        </w:rPr>
      </w:pPr>
    </w:p>
    <w:p w14:paraId="1F5BCDBB" w14:textId="02872B7E" w:rsidR="00D47E2B" w:rsidRPr="00303694" w:rsidRDefault="00D47E2B" w:rsidP="00303694">
      <w:pPr>
        <w:ind w:firstLine="284"/>
        <w:jc w:val="both"/>
        <w:rPr>
          <w:rFonts w:asciiTheme="majorHAnsi" w:eastAsia="Times New Roman" w:hAnsiTheme="majorHAnsi" w:cs="Times New Roman"/>
          <w:sz w:val="22"/>
          <w:szCs w:val="22"/>
        </w:rPr>
      </w:pPr>
      <w:r w:rsidRPr="00303694">
        <w:rPr>
          <w:rFonts w:asciiTheme="majorHAnsi" w:hAnsiTheme="majorHAnsi"/>
          <w:sz w:val="22"/>
          <w:szCs w:val="22"/>
          <w:lang w:val="el-GR"/>
        </w:rPr>
        <w:t xml:space="preserve">Σύμφωνα με τη βιβλιογραφία, </w:t>
      </w:r>
      <w:r w:rsidR="00DF6A2F">
        <w:rPr>
          <w:rFonts w:asciiTheme="majorHAnsi" w:eastAsia="Times New Roman" w:hAnsiTheme="majorHAnsi" w:cs="Times New Roman"/>
          <w:sz w:val="22"/>
          <w:szCs w:val="22"/>
        </w:rPr>
        <w:t>ο</w:t>
      </w:r>
      <w:r w:rsidR="00303694" w:rsidRPr="00303694">
        <w:rPr>
          <w:rFonts w:asciiTheme="majorHAnsi" w:eastAsia="Times New Roman" w:hAnsiTheme="majorHAnsi" w:cs="Times New Roman"/>
          <w:sz w:val="22"/>
          <w:szCs w:val="22"/>
        </w:rPr>
        <w:t xml:space="preserve">ι μητέρες επενδύουν περισσότερο χρόνο στη φροντίδα και εκπαίδευση των παιδιών συγκριτικά με τους πατέρες, με την εμπλοκή τους να ενισχύει τη σχολική επιτυχία όταν είναι ισορροπημένη </w:t>
      </w:r>
      <w:r w:rsidR="00303694" w:rsidRPr="00943276">
        <w:rPr>
          <w:rFonts w:asciiTheme="majorHAnsi" w:eastAsia="Times New Roman" w:hAnsiTheme="majorHAnsi" w:cs="Times New Roman"/>
          <w:sz w:val="22"/>
          <w:szCs w:val="22"/>
          <w:highlight w:val="red"/>
        </w:rPr>
        <w:t>(Xiong</w:t>
      </w:r>
      <w:r w:rsidR="00906BA4" w:rsidRPr="00943276">
        <w:rPr>
          <w:rFonts w:asciiTheme="majorHAnsi" w:eastAsia="Times New Roman" w:hAnsiTheme="majorHAnsi" w:cs="Times New Roman"/>
          <w:sz w:val="22"/>
          <w:szCs w:val="22"/>
          <w:highlight w:val="red"/>
        </w:rPr>
        <w:t xml:space="preserve"> et al., 2023·</w:t>
      </w:r>
      <w:r w:rsidR="00303694" w:rsidRPr="00303694">
        <w:rPr>
          <w:rFonts w:asciiTheme="majorHAnsi" w:eastAsia="Times New Roman" w:hAnsiTheme="majorHAnsi" w:cs="Times New Roman"/>
          <w:sz w:val="22"/>
          <w:szCs w:val="22"/>
        </w:rPr>
        <w:t xml:space="preserve"> Cetin &amp; Taskin, 2016). Το οικονομικό και μορφωτικό τους επίπεδο καθορίζουν σημαντικά το βαθμό συμμετοχής τους (Chen &amp; Williams, 2020).</w:t>
      </w:r>
    </w:p>
    <w:p w14:paraId="023F7315" w14:textId="1B4F02BA" w:rsidR="00B90EBC" w:rsidRPr="00B90EBC" w:rsidRDefault="00D47E2B" w:rsidP="00B90EBC">
      <w:pPr>
        <w:spacing w:beforeLines="240" w:before="576"/>
        <w:ind w:firstLine="284"/>
        <w:rPr>
          <w:b/>
          <w:sz w:val="22"/>
          <w:szCs w:val="22"/>
          <w:lang w:val="el-GR"/>
        </w:rPr>
      </w:pPr>
      <w:r w:rsidRPr="00E26A71">
        <w:rPr>
          <w:b/>
          <w:sz w:val="22"/>
          <w:szCs w:val="22"/>
          <w:lang w:val="el-GR"/>
        </w:rPr>
        <w:t>Θεωρητικό Πλαίσιο</w:t>
      </w:r>
    </w:p>
    <w:p w14:paraId="15C7DFC8" w14:textId="3117D87E" w:rsidR="00F36002" w:rsidRPr="00B90EBC" w:rsidRDefault="00D47E2B" w:rsidP="00303694">
      <w:pPr>
        <w:spacing w:before="240"/>
        <w:ind w:firstLine="284"/>
        <w:jc w:val="both"/>
        <w:rPr>
          <w:rFonts w:asciiTheme="majorHAnsi" w:eastAsia="Times New Roman" w:hAnsiTheme="majorHAnsi" w:cs="Times New Roman"/>
          <w:sz w:val="22"/>
          <w:szCs w:val="22"/>
        </w:rPr>
      </w:pPr>
      <w:r w:rsidRPr="00026F5C">
        <w:rPr>
          <w:rFonts w:asciiTheme="majorHAnsi" w:hAnsiTheme="majorHAnsi"/>
          <w:sz w:val="22"/>
          <w:szCs w:val="22"/>
          <w:lang w:val="el-GR"/>
        </w:rPr>
        <w:t xml:space="preserve">Στη μελέτη αυτή, η μεταβλητή «εμπλοκή-μη εμπλοκή» ορίζεται ως η ανεξάρτητη μεταβλητή που επηρεάζει τους δύο βασικούς παράγοντες, δηλαδή το οικονομικό και το μορφωτικό επίπεδο των μητέρων. </w:t>
      </w:r>
      <w:r w:rsidR="00026F5C" w:rsidRPr="00026F5C">
        <w:rPr>
          <w:rFonts w:asciiTheme="majorHAnsi" w:eastAsia="Times New Roman" w:hAnsiTheme="majorHAnsi" w:cs="Times New Roman"/>
          <w:sz w:val="22"/>
          <w:szCs w:val="22"/>
        </w:rPr>
        <w:t>Η εμπλοκή συνδέεται με υψηλότερο εισόδημα και εκπαίδευση, ενώ η μη εμπλοκή σχετίζεται με περιορισμένους πό</w:t>
      </w:r>
      <w:r w:rsidR="00B90EBC">
        <w:rPr>
          <w:rFonts w:asciiTheme="majorHAnsi" w:eastAsia="Times New Roman" w:hAnsiTheme="majorHAnsi" w:cs="Times New Roman"/>
          <w:sz w:val="22"/>
          <w:szCs w:val="22"/>
        </w:rPr>
        <w:t>ρους και χρόνο (Augustine</w:t>
      </w:r>
      <w:r w:rsidR="007646A9">
        <w:rPr>
          <w:rFonts w:asciiTheme="majorHAnsi" w:hAnsiTheme="majorHAnsi" w:cs="Times New Roman"/>
          <w:sz w:val="22"/>
          <w:szCs w:val="22"/>
        </w:rPr>
        <w:t xml:space="preserve"> &amp; Negraia, 2018</w:t>
      </w:r>
      <w:r w:rsidR="00C7284F">
        <w:rPr>
          <w:rFonts w:asciiTheme="majorHAnsi" w:eastAsia="Times New Roman" w:hAnsiTheme="majorHAnsi" w:cs="Times New Roman"/>
          <w:sz w:val="22"/>
          <w:szCs w:val="22"/>
        </w:rPr>
        <w:t>·</w:t>
      </w:r>
      <w:r w:rsidR="00026F5C" w:rsidRPr="00026F5C">
        <w:rPr>
          <w:rFonts w:asciiTheme="majorHAnsi" w:eastAsia="Times New Roman" w:hAnsiTheme="majorHAnsi" w:cs="Times New Roman"/>
          <w:sz w:val="22"/>
          <w:szCs w:val="22"/>
        </w:rPr>
        <w:t xml:space="preserve"> Cetin &amp; Taskin, 2016). </w:t>
      </w:r>
      <w:r w:rsidR="00026F5C" w:rsidRPr="00943276">
        <w:rPr>
          <w:rFonts w:asciiTheme="majorHAnsi" w:eastAsia="Times New Roman" w:hAnsiTheme="majorHAnsi" w:cs="Times New Roman"/>
          <w:sz w:val="22"/>
          <w:szCs w:val="22"/>
          <w:highlight w:val="red"/>
        </w:rPr>
        <w:t>Οι μορφωμένες μητέρες συμμετέχουν περισσότερο στις εκπαιδευτικές δραστηριότητες των παιδιών, παρέχοντας κίνητρα κ</w:t>
      </w:r>
      <w:r w:rsidR="00B90EBC" w:rsidRPr="00943276">
        <w:rPr>
          <w:rFonts w:asciiTheme="majorHAnsi" w:eastAsia="Times New Roman" w:hAnsiTheme="majorHAnsi" w:cs="Times New Roman"/>
          <w:sz w:val="22"/>
          <w:szCs w:val="22"/>
          <w:highlight w:val="red"/>
        </w:rPr>
        <w:t>αι στήριξη</w:t>
      </w:r>
      <w:r w:rsidR="00B90EBC">
        <w:rPr>
          <w:rFonts w:asciiTheme="majorHAnsi" w:eastAsia="Times New Roman" w:hAnsiTheme="majorHAnsi" w:cs="Times New Roman"/>
          <w:sz w:val="22"/>
          <w:szCs w:val="22"/>
        </w:rPr>
        <w:t xml:space="preserve"> (Xiong et al., 2023).</w:t>
      </w:r>
    </w:p>
    <w:p w14:paraId="2FE0BB0C" w14:textId="77777777" w:rsidR="00D47E2B" w:rsidRPr="00E26A71" w:rsidRDefault="00D47E2B" w:rsidP="00B90EBC">
      <w:pPr>
        <w:spacing w:beforeLines="240" w:before="576"/>
        <w:ind w:firstLine="284"/>
        <w:rPr>
          <w:b/>
          <w:i/>
          <w:sz w:val="22"/>
          <w:szCs w:val="22"/>
          <w:lang w:val="el-GR"/>
        </w:rPr>
      </w:pPr>
      <w:r w:rsidRPr="00E26A71">
        <w:rPr>
          <w:b/>
          <w:sz w:val="22"/>
          <w:szCs w:val="22"/>
          <w:lang w:val="el-GR"/>
        </w:rPr>
        <w:t>Ο Παράγοντας Οικονομικό Επίπεδο</w:t>
      </w:r>
    </w:p>
    <w:p w14:paraId="605FBB20" w14:textId="67F2EED0" w:rsidR="00E26A71" w:rsidRPr="006834DB" w:rsidRDefault="00D47E2B" w:rsidP="006834DB">
      <w:pPr>
        <w:pStyle w:val="NormalWeb"/>
        <w:spacing w:beforeLines="240" w:before="576" w:beforeAutospacing="0"/>
        <w:ind w:firstLine="284"/>
        <w:contextualSpacing/>
        <w:jc w:val="both"/>
        <w:rPr>
          <w:rFonts w:asciiTheme="majorHAnsi" w:hAnsiTheme="majorHAnsi"/>
          <w:color w:val="000000"/>
          <w:sz w:val="22"/>
          <w:szCs w:val="22"/>
          <w:lang w:val="el-GR"/>
        </w:rPr>
      </w:pPr>
      <w:r w:rsidRPr="00E26A71">
        <w:rPr>
          <w:rFonts w:asciiTheme="majorHAnsi" w:hAnsiTheme="majorHAnsi"/>
          <w:sz w:val="22"/>
          <w:szCs w:val="22"/>
          <w:lang w:val="el-GR"/>
        </w:rPr>
        <w:t>Το οικονομικό επίπεδο των μητέρων επηρεάζει άμεσα την ικανότητά τους να εμπλέκονται στη σχολική εκπαίδευση των παιδιών τους. Οι μητέρες με επαρκές εισόδημα έχουν τη δυνατότητα να προσφέρουν εξωσχολικές δραστηριότητες, όπως φροντιστήρια, ταξίδια ή πρόσβαση σε εκπ</w:t>
      </w:r>
      <w:r w:rsidR="001038FA" w:rsidRPr="00E26A71">
        <w:rPr>
          <w:rFonts w:asciiTheme="majorHAnsi" w:hAnsiTheme="majorHAnsi"/>
          <w:sz w:val="22"/>
          <w:szCs w:val="22"/>
          <w:lang w:val="el-GR"/>
        </w:rPr>
        <w:t>αιδευτικά μέσα</w:t>
      </w:r>
      <w:r w:rsidRPr="00E26A71">
        <w:rPr>
          <w:rFonts w:asciiTheme="majorHAnsi" w:hAnsiTheme="majorHAnsi"/>
          <w:sz w:val="22"/>
          <w:szCs w:val="22"/>
          <w:lang w:val="el-GR"/>
        </w:rPr>
        <w:t>. Επιπλέον, η οικονομική ανεξαρτησία τους ενισχύει τη συνεργασία με το σχολείο και την υποστή</w:t>
      </w:r>
      <w:r w:rsidR="001038FA" w:rsidRPr="00E26A71">
        <w:rPr>
          <w:rFonts w:asciiTheme="majorHAnsi" w:hAnsiTheme="majorHAnsi"/>
          <w:sz w:val="22"/>
          <w:szCs w:val="22"/>
          <w:lang w:val="el-GR"/>
        </w:rPr>
        <w:t>ριξη των παιδιών τους (</w:t>
      </w:r>
      <w:r w:rsidR="008D6719" w:rsidRPr="007E0C41">
        <w:rPr>
          <w:rFonts w:asciiTheme="majorHAnsi" w:hAnsiTheme="majorHAnsi"/>
          <w:color w:val="000000"/>
          <w:sz w:val="22"/>
          <w:szCs w:val="22"/>
        </w:rPr>
        <w:t>Zhang</w:t>
      </w:r>
      <w:r w:rsidR="008D6719" w:rsidRPr="00E26A71">
        <w:rPr>
          <w:rFonts w:asciiTheme="majorHAnsi" w:hAnsiTheme="majorHAnsi"/>
          <w:color w:val="000000"/>
          <w:sz w:val="22"/>
          <w:szCs w:val="22"/>
          <w:lang w:val="el-GR"/>
        </w:rPr>
        <w:t xml:space="preserve"> </w:t>
      </w:r>
      <w:r w:rsidR="008D6719">
        <w:rPr>
          <w:rFonts w:asciiTheme="majorHAnsi" w:hAnsiTheme="majorHAnsi"/>
          <w:color w:val="000000"/>
          <w:sz w:val="22"/>
          <w:szCs w:val="22"/>
        </w:rPr>
        <w:t>et</w:t>
      </w:r>
      <w:r w:rsidR="008D6719" w:rsidRPr="00E26A71">
        <w:rPr>
          <w:rFonts w:asciiTheme="majorHAnsi" w:hAnsiTheme="majorHAnsi"/>
          <w:color w:val="000000"/>
          <w:sz w:val="22"/>
          <w:szCs w:val="22"/>
          <w:lang w:val="el-GR"/>
        </w:rPr>
        <w:t xml:space="preserve"> </w:t>
      </w:r>
      <w:r w:rsidR="008D6719">
        <w:rPr>
          <w:rFonts w:asciiTheme="majorHAnsi" w:hAnsiTheme="majorHAnsi"/>
          <w:color w:val="000000"/>
          <w:sz w:val="22"/>
          <w:szCs w:val="22"/>
        </w:rPr>
        <w:t>al</w:t>
      </w:r>
      <w:r w:rsidR="00885230" w:rsidRPr="00E26A71">
        <w:rPr>
          <w:rFonts w:asciiTheme="majorHAnsi" w:hAnsiTheme="majorHAnsi"/>
          <w:sz w:val="22"/>
          <w:szCs w:val="22"/>
          <w:lang w:val="el-GR"/>
        </w:rPr>
        <w:t>.</w:t>
      </w:r>
      <w:r w:rsidR="008D6719" w:rsidRPr="00E26A71">
        <w:rPr>
          <w:rFonts w:asciiTheme="majorHAnsi" w:hAnsiTheme="majorHAnsi"/>
          <w:sz w:val="22"/>
          <w:szCs w:val="22"/>
          <w:lang w:val="el-GR"/>
        </w:rPr>
        <w:t>, 2023).</w:t>
      </w:r>
      <w:r w:rsidRPr="00E26A71">
        <w:rPr>
          <w:rFonts w:asciiTheme="majorHAnsi" w:hAnsiTheme="majorHAnsi"/>
          <w:sz w:val="22"/>
          <w:szCs w:val="22"/>
          <w:lang w:val="el-GR"/>
        </w:rPr>
        <w:t xml:space="preserve"> Αντίθετα, οι μητέρες με χαμηλό εισόδημα συχνά αδυνατούν να παρέχουν σταθερή υποστήριξη λόγω των επαγγελματικών τους υποχρεώσεων ή της έλλειψης πρόσβασης σε πόρους </w:t>
      </w:r>
      <w:r w:rsidR="00275A1F" w:rsidRPr="00E26A71">
        <w:rPr>
          <w:rFonts w:asciiTheme="majorHAnsi" w:hAnsiTheme="majorHAnsi"/>
          <w:sz w:val="22"/>
          <w:szCs w:val="22"/>
          <w:lang w:val="el-GR"/>
        </w:rPr>
        <w:t>(</w:t>
      </w:r>
      <w:r w:rsidR="00275A1F" w:rsidRPr="00275A1F">
        <w:rPr>
          <w:rFonts w:asciiTheme="majorHAnsi" w:hAnsiTheme="majorHAnsi"/>
          <w:color w:val="000000"/>
          <w:sz w:val="22"/>
          <w:szCs w:val="22"/>
        </w:rPr>
        <w:t>Schochet</w:t>
      </w:r>
      <w:r w:rsidR="00275A1F" w:rsidRPr="00E26A71">
        <w:rPr>
          <w:rFonts w:asciiTheme="majorHAnsi" w:hAnsiTheme="majorHAnsi"/>
          <w:color w:val="000000"/>
          <w:sz w:val="22"/>
          <w:szCs w:val="22"/>
          <w:lang w:val="el-GR"/>
        </w:rPr>
        <w:t xml:space="preserve"> </w:t>
      </w:r>
      <w:r w:rsidR="00275A1F">
        <w:rPr>
          <w:rFonts w:asciiTheme="majorHAnsi" w:hAnsiTheme="majorHAnsi"/>
          <w:color w:val="000000"/>
          <w:sz w:val="22"/>
          <w:szCs w:val="22"/>
        </w:rPr>
        <w:t>et</w:t>
      </w:r>
      <w:r w:rsidR="00275A1F" w:rsidRPr="00E26A71">
        <w:rPr>
          <w:rFonts w:asciiTheme="majorHAnsi" w:hAnsiTheme="majorHAnsi"/>
          <w:color w:val="000000"/>
          <w:sz w:val="22"/>
          <w:szCs w:val="22"/>
          <w:lang w:val="el-GR"/>
        </w:rPr>
        <w:t xml:space="preserve"> </w:t>
      </w:r>
      <w:r w:rsidR="00275A1F">
        <w:rPr>
          <w:rFonts w:asciiTheme="majorHAnsi" w:hAnsiTheme="majorHAnsi"/>
          <w:color w:val="000000"/>
          <w:sz w:val="22"/>
          <w:szCs w:val="22"/>
        </w:rPr>
        <w:t>al</w:t>
      </w:r>
      <w:r w:rsidR="00275A1F" w:rsidRPr="00E26A71">
        <w:rPr>
          <w:rFonts w:asciiTheme="majorHAnsi" w:hAnsiTheme="majorHAnsi"/>
          <w:color w:val="000000"/>
          <w:sz w:val="22"/>
          <w:szCs w:val="22"/>
          <w:lang w:val="el-GR"/>
        </w:rPr>
        <w:t>., 2020).</w:t>
      </w:r>
    </w:p>
    <w:p w14:paraId="539A9D9B" w14:textId="77777777" w:rsidR="00D47E2B" w:rsidRPr="00E26A71" w:rsidRDefault="00D47E2B" w:rsidP="00575F33">
      <w:pPr>
        <w:spacing w:beforeLines="240" w:before="576"/>
        <w:ind w:firstLine="284"/>
        <w:rPr>
          <w:b/>
          <w:i/>
          <w:sz w:val="22"/>
          <w:szCs w:val="22"/>
          <w:lang w:val="el-GR"/>
        </w:rPr>
      </w:pPr>
      <w:r w:rsidRPr="00E26A71">
        <w:rPr>
          <w:b/>
          <w:sz w:val="22"/>
          <w:szCs w:val="22"/>
          <w:lang w:val="el-GR"/>
        </w:rPr>
        <w:lastRenderedPageBreak/>
        <w:t>Ο Παράγοντας Μορφωτικό Επίπεδο</w:t>
      </w:r>
    </w:p>
    <w:p w14:paraId="6D9D1B1F" w14:textId="157BCFB5" w:rsidR="00D47E2B" w:rsidRPr="00E26A71" w:rsidRDefault="00D47E2B" w:rsidP="00575F33">
      <w:pPr>
        <w:pStyle w:val="NormalWeb"/>
        <w:spacing w:beforeLines="240" w:before="576" w:beforeAutospacing="0"/>
        <w:ind w:firstLine="284"/>
        <w:contextualSpacing/>
        <w:jc w:val="both"/>
        <w:rPr>
          <w:rFonts w:asciiTheme="majorHAnsi" w:hAnsiTheme="majorHAnsi"/>
          <w:sz w:val="22"/>
          <w:szCs w:val="22"/>
          <w:lang w:val="el-GR"/>
        </w:rPr>
      </w:pPr>
      <w:r w:rsidRPr="00E26A71">
        <w:rPr>
          <w:rFonts w:asciiTheme="majorHAnsi" w:hAnsiTheme="majorHAnsi"/>
          <w:sz w:val="22"/>
          <w:szCs w:val="22"/>
          <w:lang w:val="el-GR"/>
        </w:rPr>
        <w:t>Οι μορφωμένες μητέρες συμμετέχουν πιο ενεργά σε σχολικές δραστηριότητες, παρέχουν υποστήριξη στη μελέτη των παιδιών τους και προάγουν την ανάπτυξη γλωσσικών δεξιοτήτων μέσω της καθημερινής αλληλεπίδρασης (</w:t>
      </w:r>
      <w:r w:rsidRPr="00BF33CB">
        <w:rPr>
          <w:rFonts w:asciiTheme="majorHAnsi" w:hAnsiTheme="majorHAnsi"/>
          <w:sz w:val="22"/>
          <w:szCs w:val="22"/>
        </w:rPr>
        <w:t>Augustine</w:t>
      </w:r>
      <w:r w:rsidRPr="00E26A71">
        <w:rPr>
          <w:rFonts w:asciiTheme="majorHAnsi" w:hAnsiTheme="majorHAnsi"/>
          <w:sz w:val="22"/>
          <w:szCs w:val="22"/>
          <w:lang w:val="el-GR"/>
        </w:rPr>
        <w:t xml:space="preserve"> &amp; </w:t>
      </w:r>
      <w:r w:rsidRPr="00BF33CB">
        <w:rPr>
          <w:rFonts w:asciiTheme="majorHAnsi" w:hAnsiTheme="majorHAnsi"/>
          <w:sz w:val="22"/>
          <w:szCs w:val="22"/>
        </w:rPr>
        <w:t>Negraia</w:t>
      </w:r>
      <w:r w:rsidRPr="00E26A71">
        <w:rPr>
          <w:rFonts w:asciiTheme="majorHAnsi" w:hAnsiTheme="majorHAnsi"/>
          <w:sz w:val="22"/>
          <w:szCs w:val="22"/>
          <w:lang w:val="el-GR"/>
        </w:rPr>
        <w:t>, 2018). Διαθέτουν καλύτερη κατανόηση του εκπαιδευτικού συστήματος και αναγνωρίζουν τη σημασία</w:t>
      </w:r>
      <w:r w:rsidR="001038FA" w:rsidRPr="00E26A71">
        <w:rPr>
          <w:rFonts w:asciiTheme="majorHAnsi" w:hAnsiTheme="majorHAnsi"/>
          <w:sz w:val="22"/>
          <w:szCs w:val="22"/>
          <w:lang w:val="el-GR"/>
        </w:rPr>
        <w:t xml:space="preserve"> της συνεργασίας με το σχολείο. </w:t>
      </w:r>
      <w:r w:rsidRPr="00E26A71">
        <w:rPr>
          <w:rFonts w:asciiTheme="majorHAnsi" w:hAnsiTheme="majorHAnsi"/>
          <w:sz w:val="22"/>
          <w:szCs w:val="22"/>
          <w:lang w:val="el-GR"/>
        </w:rPr>
        <w:t xml:space="preserve">Από την άλλη, οι μητέρες με χαμηλότερο μορφωτικό επίπεδο συχνά αντιμετωπίζουν δυσκολίες στην υποστήριξη των παιδιών τους, περιοριζόμενες σε πιο παθητικούς ρόλους </w:t>
      </w:r>
      <w:r w:rsidRPr="00943276">
        <w:rPr>
          <w:rFonts w:asciiTheme="majorHAnsi" w:hAnsiTheme="majorHAnsi"/>
          <w:sz w:val="22"/>
          <w:szCs w:val="22"/>
          <w:highlight w:val="red"/>
          <w:lang w:val="el-GR"/>
        </w:rPr>
        <w:t>(</w:t>
      </w:r>
      <w:r w:rsidR="00313606" w:rsidRPr="00943276">
        <w:rPr>
          <w:rFonts w:asciiTheme="majorHAnsi" w:hAnsiTheme="majorHAnsi"/>
          <w:color w:val="000000"/>
          <w:sz w:val="22"/>
          <w:szCs w:val="22"/>
          <w:highlight w:val="red"/>
        </w:rPr>
        <w:t>Utami, 2022).</w:t>
      </w:r>
    </w:p>
    <w:p w14:paraId="63CA19F5" w14:textId="77777777" w:rsidR="00416C9E" w:rsidRDefault="0016276A" w:rsidP="00416C9E">
      <w:pPr>
        <w:spacing w:before="240"/>
        <w:ind w:firstLine="284"/>
        <w:rPr>
          <w:b/>
          <w:sz w:val="22"/>
          <w:szCs w:val="22"/>
          <w:lang w:val="el-GR"/>
        </w:rPr>
      </w:pPr>
      <w:r w:rsidRPr="00E26A71">
        <w:rPr>
          <w:b/>
          <w:sz w:val="22"/>
          <w:szCs w:val="22"/>
          <w:lang w:val="el-GR"/>
        </w:rPr>
        <w:t>Μεθοδολογία</w:t>
      </w:r>
    </w:p>
    <w:p w14:paraId="5185905F" w14:textId="0CD39F98" w:rsidR="00416C9E" w:rsidRPr="00E26A71" w:rsidRDefault="00416C9E" w:rsidP="00416C9E">
      <w:pPr>
        <w:spacing w:before="240"/>
        <w:ind w:firstLine="284"/>
        <w:rPr>
          <w:b/>
          <w:i/>
          <w:sz w:val="22"/>
          <w:szCs w:val="22"/>
          <w:lang w:val="el-GR"/>
        </w:rPr>
      </w:pPr>
      <w:r w:rsidRPr="00943276">
        <w:rPr>
          <w:b/>
          <w:sz w:val="22"/>
          <w:szCs w:val="22"/>
          <w:highlight w:val="red"/>
          <w:lang w:val="el-GR"/>
        </w:rPr>
        <w:t>Σκοπός της έρευνας</w:t>
      </w:r>
    </w:p>
    <w:p w14:paraId="0C006BC0" w14:textId="77777777" w:rsidR="00416C9E" w:rsidRPr="00E26A71" w:rsidRDefault="00416C9E" w:rsidP="00416C9E">
      <w:pPr>
        <w:pStyle w:val="NormalWeb"/>
        <w:spacing w:beforeLines="240" w:before="576" w:beforeAutospacing="0"/>
        <w:ind w:firstLine="102"/>
        <w:jc w:val="both"/>
        <w:rPr>
          <w:rFonts w:asciiTheme="majorHAnsi" w:hAnsiTheme="majorHAnsi"/>
          <w:sz w:val="22"/>
          <w:szCs w:val="22"/>
          <w:lang w:val="el-GR"/>
        </w:rPr>
      </w:pPr>
      <w:r w:rsidRPr="00E26A71">
        <w:rPr>
          <w:rFonts w:asciiTheme="majorHAnsi" w:hAnsiTheme="majorHAnsi"/>
          <w:sz w:val="22"/>
          <w:szCs w:val="22"/>
          <w:lang w:val="el-GR"/>
        </w:rPr>
        <w:t>Ο κύριος σκοπός της παρούσας μελέτης είναι η διερεύνηση της διαφοροποίησης του οικονομικού και μορφωτικού επιπέδου μεταξύ Ελληνίδων μητέρων που συμμετέχουν ενεργά στη σχολική εκπαίδευση των παιδιών τους (δημοτικού σχολείου) και εκείνων που δεν συμμετέχουν, του νομού Καρδίτσας.</w:t>
      </w:r>
    </w:p>
    <w:p w14:paraId="0732530F" w14:textId="77777777" w:rsidR="00416C9E" w:rsidRPr="00E26A71" w:rsidRDefault="00416C9E" w:rsidP="00416C9E">
      <w:pPr>
        <w:spacing w:beforeLines="240" w:before="576"/>
        <w:ind w:firstLine="284"/>
        <w:rPr>
          <w:b/>
          <w:i/>
          <w:sz w:val="22"/>
          <w:szCs w:val="22"/>
          <w:lang w:val="el-GR"/>
        </w:rPr>
      </w:pPr>
      <w:r w:rsidRPr="00E26A71">
        <w:rPr>
          <w:b/>
          <w:sz w:val="22"/>
          <w:szCs w:val="22"/>
          <w:lang w:val="el-GR"/>
        </w:rPr>
        <w:t xml:space="preserve"> </w:t>
      </w:r>
      <w:r w:rsidRPr="00943276">
        <w:rPr>
          <w:b/>
          <w:sz w:val="22"/>
          <w:szCs w:val="22"/>
          <w:highlight w:val="red"/>
          <w:lang w:val="el-GR"/>
        </w:rPr>
        <w:t>Ερευνητικά ερωτήματα</w:t>
      </w:r>
    </w:p>
    <w:p w14:paraId="3F266FF8" w14:textId="1F197AA9" w:rsidR="0016276A" w:rsidRPr="00142259" w:rsidRDefault="00416C9E" w:rsidP="00142259">
      <w:pPr>
        <w:pStyle w:val="NormalWeb"/>
        <w:spacing w:beforeLines="240" w:before="576" w:beforeAutospacing="0"/>
        <w:ind w:firstLine="284"/>
        <w:contextualSpacing/>
        <w:jc w:val="both"/>
        <w:rPr>
          <w:rFonts w:asciiTheme="majorHAnsi" w:hAnsiTheme="majorHAnsi"/>
          <w:sz w:val="22"/>
          <w:szCs w:val="22"/>
          <w:lang w:val="el-GR"/>
        </w:rPr>
      </w:pPr>
      <w:r w:rsidRPr="00E26A71">
        <w:rPr>
          <w:rFonts w:asciiTheme="majorHAnsi" w:hAnsiTheme="majorHAnsi"/>
          <w:sz w:val="22"/>
          <w:szCs w:val="22"/>
          <w:lang w:val="el-GR"/>
        </w:rPr>
        <w:t>Τα ερευνητικά ερωτήματα είναι δύο: «</w:t>
      </w:r>
      <w:r w:rsidRPr="00E26A71">
        <w:rPr>
          <w:rFonts w:asciiTheme="majorHAnsi" w:eastAsia="Times New Roman" w:hAnsiTheme="majorHAnsi"/>
          <w:sz w:val="22"/>
          <w:szCs w:val="22"/>
          <w:lang w:val="el-GR"/>
        </w:rPr>
        <w:t>Πώς διαφοροποιείται το οικονομικό επίπεδο μεταξύ των μητέρων που εμπλέκονται ενεργά στη σχολική εκπαίδευση των παιδιών τους (δημοτικού σχολείου) και εκείνων που δεν εμπλέκονται, του νομού Καρδίτσας;» και «Πώς διαφοροποιείται το μορφωτικό επίπεδο μεταξύ αυτών των δύο κατηγοριών μητέρων, του νομού Καρδίτσας;».</w:t>
      </w:r>
    </w:p>
    <w:p w14:paraId="40A252BD" w14:textId="77777777" w:rsidR="0016276A" w:rsidRDefault="0016276A" w:rsidP="00026893">
      <w:pPr>
        <w:spacing w:before="240"/>
        <w:ind w:firstLine="284"/>
        <w:rPr>
          <w:i/>
          <w:sz w:val="22"/>
          <w:szCs w:val="22"/>
          <w:lang w:val="el-GR"/>
        </w:rPr>
      </w:pPr>
      <w:r w:rsidRPr="00E26A71">
        <w:rPr>
          <w:i/>
          <w:sz w:val="22"/>
          <w:szCs w:val="22"/>
          <w:lang w:val="el-GR"/>
        </w:rPr>
        <w:t>Διαδικασία Εκτέλεσης Έρευνας</w:t>
      </w:r>
    </w:p>
    <w:p w14:paraId="46D1A291" w14:textId="77777777" w:rsidR="00E80023" w:rsidRDefault="00E80023" w:rsidP="00026893">
      <w:pPr>
        <w:spacing w:before="240"/>
        <w:ind w:firstLine="284"/>
        <w:rPr>
          <w:i/>
          <w:sz w:val="22"/>
          <w:szCs w:val="22"/>
          <w:lang w:val="el-GR"/>
        </w:rPr>
      </w:pPr>
    </w:p>
    <w:p w14:paraId="5839435A" w14:textId="3DE3EDA6" w:rsidR="00E80023" w:rsidRPr="00906BA4" w:rsidRDefault="00E80023" w:rsidP="00906BA4">
      <w:pPr>
        <w:ind w:firstLine="284"/>
        <w:jc w:val="both"/>
        <w:rPr>
          <w:rFonts w:asciiTheme="majorHAnsi" w:eastAsia="Times New Roman" w:hAnsiTheme="majorHAnsi" w:cs="Times New Roman"/>
          <w:sz w:val="22"/>
          <w:szCs w:val="22"/>
        </w:rPr>
      </w:pPr>
      <w:r w:rsidRPr="00943276">
        <w:rPr>
          <w:rFonts w:asciiTheme="majorHAnsi" w:eastAsia="Times New Roman" w:hAnsiTheme="majorHAnsi" w:cs="Times New Roman"/>
          <w:sz w:val="22"/>
          <w:szCs w:val="22"/>
          <w:highlight w:val="red"/>
        </w:rPr>
        <w:t>Η έρευνα ακολούθησε ποσοτική συσχετιστική μεθοδολογία (Bryman, 2017), με συλλογή δεδομένων μέσω ερωτηματολογίων από 22 μητέρες μαθητών δημοτικού στην Καρδίτσα. Χρησιμοποιήθηκε βολική δειγματοληψία, με ηλεκτρονική αποστολή σε γνωστές της ερευνήτριας. Το δείγμα ισομερώς περιλάμβανε 11 μητέρες που εμπλέκονταν ενεργά στη σχολική εκπαίδευση και 11 που δεν εμπλέκονταν. Εξασφαλίστηκε ανωνυμία, εθελοντική συμμετοχή και συμμόρφωση με δεοντολογικούς κανόνες (Παπαναστασίου &amp; Παπαναστασίου, 2016).</w:t>
      </w:r>
    </w:p>
    <w:p w14:paraId="7649AB0A" w14:textId="77777777" w:rsidR="00BC6ED2" w:rsidRPr="00E26A71" w:rsidRDefault="00BC6ED2" w:rsidP="00BC6ED2">
      <w:pPr>
        <w:spacing w:beforeLines="240" w:before="576"/>
        <w:ind w:firstLine="284"/>
        <w:rPr>
          <w:b/>
          <w:i/>
          <w:sz w:val="22"/>
          <w:szCs w:val="22"/>
          <w:lang w:val="el-GR"/>
        </w:rPr>
      </w:pPr>
      <w:r w:rsidRPr="00E26A71">
        <w:rPr>
          <w:b/>
          <w:sz w:val="22"/>
          <w:szCs w:val="22"/>
          <w:lang w:val="el-GR"/>
        </w:rPr>
        <w:t>Πληθυσμός και Δείγμα</w:t>
      </w:r>
    </w:p>
    <w:p w14:paraId="00085429" w14:textId="755A782E" w:rsidR="002A7046" w:rsidRPr="00E26A71" w:rsidRDefault="00BC6ED2" w:rsidP="002B5244">
      <w:pPr>
        <w:pStyle w:val="NormalWeb"/>
        <w:spacing w:beforeLines="240" w:before="576" w:beforeAutospacing="0"/>
        <w:ind w:firstLine="284"/>
        <w:contextualSpacing/>
        <w:jc w:val="both"/>
        <w:rPr>
          <w:rFonts w:asciiTheme="majorHAnsi" w:hAnsiTheme="majorHAnsi"/>
          <w:sz w:val="22"/>
          <w:szCs w:val="22"/>
          <w:lang w:val="el-GR"/>
        </w:rPr>
      </w:pPr>
      <w:r w:rsidRPr="00E26A71">
        <w:rPr>
          <w:rFonts w:asciiTheme="majorHAnsi" w:hAnsiTheme="majorHAnsi"/>
          <w:sz w:val="22"/>
          <w:szCs w:val="22"/>
          <w:lang w:val="el-GR"/>
        </w:rPr>
        <w:t>Ο πληθυσμός περιλάμβανε όλες τις Ελληνίδες μητέρες που είχαν παιδιά στο δημοτικό σχολείο του νομού Καρδίτσας κατά το σχολικό έτο</w:t>
      </w:r>
      <w:r w:rsidR="00417D2D">
        <w:rPr>
          <w:rFonts w:asciiTheme="majorHAnsi" w:hAnsiTheme="majorHAnsi"/>
          <w:sz w:val="22"/>
          <w:szCs w:val="22"/>
          <w:lang w:val="el-GR"/>
        </w:rPr>
        <w:t>ς 2020-2021. Το δείγμα αποτελού</w:t>
      </w:r>
      <w:r w:rsidRPr="00E26A71">
        <w:rPr>
          <w:rFonts w:asciiTheme="majorHAnsi" w:hAnsiTheme="majorHAnsi"/>
          <w:sz w:val="22"/>
          <w:szCs w:val="22"/>
          <w:lang w:val="el-GR"/>
        </w:rPr>
        <w:t>ταν από 22 μητέρες, επιλεγμένες με τη μέθοδο της βολικής δειγματοληψίας. Η συμμετοχή διασφαλίστηκε μέσω επικοινωνίας με τις μητέρες που πληρούσαν τα κριτήρια εμπλοκής ή μη εμπλ</w:t>
      </w:r>
      <w:r w:rsidR="002B5244">
        <w:rPr>
          <w:rFonts w:asciiTheme="majorHAnsi" w:hAnsiTheme="majorHAnsi"/>
          <w:sz w:val="22"/>
          <w:szCs w:val="22"/>
          <w:lang w:val="el-GR"/>
        </w:rPr>
        <w:t>οκής.</w:t>
      </w:r>
    </w:p>
    <w:p w14:paraId="251F78E9" w14:textId="7A6363C9" w:rsidR="00E80023" w:rsidRDefault="0016276A" w:rsidP="00E80023">
      <w:pPr>
        <w:spacing w:beforeLines="240" w:before="576"/>
        <w:ind w:firstLine="284"/>
        <w:rPr>
          <w:b/>
          <w:sz w:val="22"/>
          <w:szCs w:val="22"/>
          <w:lang w:val="el-GR"/>
        </w:rPr>
      </w:pPr>
      <w:r w:rsidRPr="00E26A71">
        <w:rPr>
          <w:b/>
          <w:sz w:val="22"/>
          <w:szCs w:val="22"/>
          <w:lang w:val="el-GR"/>
        </w:rPr>
        <w:lastRenderedPageBreak/>
        <w:t>Μέσα Συλλογής Δεδομένων</w:t>
      </w:r>
    </w:p>
    <w:p w14:paraId="6E2B5ABE" w14:textId="436E5298" w:rsidR="00E80023" w:rsidRPr="00E80023" w:rsidRDefault="00E80023" w:rsidP="00E80023">
      <w:pPr>
        <w:spacing w:before="240"/>
        <w:ind w:firstLine="284"/>
        <w:jc w:val="both"/>
        <w:rPr>
          <w:rFonts w:asciiTheme="majorHAnsi" w:eastAsia="Times New Roman" w:hAnsiTheme="majorHAnsi" w:cs="Times New Roman"/>
          <w:sz w:val="22"/>
          <w:szCs w:val="22"/>
        </w:rPr>
      </w:pPr>
      <w:r w:rsidRPr="00E80023">
        <w:rPr>
          <w:rFonts w:asciiTheme="majorHAnsi" w:eastAsia="Times New Roman" w:hAnsiTheme="majorHAnsi" w:cs="Times New Roman"/>
          <w:sz w:val="22"/>
          <w:szCs w:val="22"/>
        </w:rPr>
        <w:t xml:space="preserve">Το ερωτηματολόγιο βασίστηκε στο εργαλείο των Bakker, Denessen, &amp; Brus-Laeven (2007), </w:t>
      </w:r>
      <w:r w:rsidRPr="00943276">
        <w:rPr>
          <w:rFonts w:asciiTheme="majorHAnsi" w:eastAsia="Times New Roman" w:hAnsiTheme="majorHAnsi" w:cs="Times New Roman"/>
          <w:sz w:val="22"/>
          <w:szCs w:val="22"/>
          <w:highlight w:val="red"/>
        </w:rPr>
        <w:t>με προσαρμογές που περιλάμβαναν ερωτήσεις για δημογραφικά στοιχεία και πρακτικές εμπλοκής</w:t>
      </w:r>
      <w:r w:rsidRPr="00E80023">
        <w:rPr>
          <w:rFonts w:asciiTheme="majorHAnsi" w:eastAsia="Times New Roman" w:hAnsiTheme="majorHAnsi" w:cs="Times New Roman"/>
          <w:sz w:val="22"/>
          <w:szCs w:val="22"/>
        </w:rPr>
        <w:t xml:space="preserve">. </w:t>
      </w:r>
      <w:r w:rsidRPr="00943276">
        <w:rPr>
          <w:rFonts w:asciiTheme="majorHAnsi" w:eastAsia="Times New Roman" w:hAnsiTheme="majorHAnsi" w:cs="Times New Roman"/>
          <w:sz w:val="22"/>
          <w:szCs w:val="22"/>
          <w:highlight w:val="red"/>
        </w:rPr>
        <w:t>Αποτελούνταν</w:t>
      </w:r>
      <w:r w:rsidRPr="00E80023">
        <w:rPr>
          <w:rFonts w:asciiTheme="majorHAnsi" w:eastAsia="Times New Roman" w:hAnsiTheme="majorHAnsi" w:cs="Times New Roman"/>
          <w:sz w:val="22"/>
          <w:szCs w:val="22"/>
        </w:rPr>
        <w:t xml:space="preserve"> από 23 ερωτήσεις σε τρία μέρη: (Α) δημογραφικά χαρακτηριστικά, (Β) πληροφορίες για το παιδί και (Γ) 14 ερωτήσεις Likert για την εμπλοκή στη σχολική εκπαίδευση. Η εγκυρότητα </w:t>
      </w:r>
      <w:r w:rsidRPr="00943276">
        <w:rPr>
          <w:rFonts w:asciiTheme="majorHAnsi" w:eastAsia="Times New Roman" w:hAnsiTheme="majorHAnsi" w:cs="Times New Roman"/>
          <w:sz w:val="22"/>
          <w:szCs w:val="22"/>
          <w:highlight w:val="red"/>
        </w:rPr>
        <w:t>ελέγχθηκε</w:t>
      </w:r>
      <w:r w:rsidRPr="00E80023">
        <w:rPr>
          <w:rFonts w:asciiTheme="majorHAnsi" w:eastAsia="Times New Roman" w:hAnsiTheme="majorHAnsi" w:cs="Times New Roman"/>
          <w:sz w:val="22"/>
          <w:szCs w:val="22"/>
        </w:rPr>
        <w:t xml:space="preserve"> μέσω πιλοτικής εφαρμογής σε 10 μητέρες, </w:t>
      </w:r>
      <w:r w:rsidRPr="00943276">
        <w:rPr>
          <w:rFonts w:asciiTheme="majorHAnsi" w:eastAsia="Times New Roman" w:hAnsiTheme="majorHAnsi" w:cs="Times New Roman"/>
          <w:sz w:val="22"/>
          <w:szCs w:val="22"/>
          <w:highlight w:val="red"/>
        </w:rPr>
        <w:t>με βελτιώσεις για μεγαλύτερη κατανόηση.</w:t>
      </w:r>
    </w:p>
    <w:p w14:paraId="29EBF622" w14:textId="77777777" w:rsidR="0016276A" w:rsidRPr="00E26A71" w:rsidRDefault="0016276A" w:rsidP="00575F33">
      <w:pPr>
        <w:spacing w:beforeLines="240" w:before="576"/>
        <w:ind w:firstLine="284"/>
        <w:rPr>
          <w:b/>
          <w:i/>
          <w:sz w:val="22"/>
          <w:szCs w:val="22"/>
          <w:lang w:val="el-GR"/>
        </w:rPr>
      </w:pPr>
      <w:r w:rsidRPr="00E26A71">
        <w:rPr>
          <w:b/>
          <w:sz w:val="22"/>
          <w:szCs w:val="22"/>
          <w:lang w:val="el-GR"/>
        </w:rPr>
        <w:t>Στατιστικές Τεχνικές</w:t>
      </w:r>
    </w:p>
    <w:p w14:paraId="5C4E501D" w14:textId="77777777" w:rsidR="0016276A" w:rsidRPr="00E26A71" w:rsidRDefault="0016276A" w:rsidP="00575F33">
      <w:pPr>
        <w:pStyle w:val="NormalWeb"/>
        <w:spacing w:beforeLines="240" w:before="576" w:beforeAutospacing="0"/>
        <w:ind w:firstLine="284"/>
        <w:contextualSpacing/>
        <w:jc w:val="both"/>
        <w:rPr>
          <w:rFonts w:asciiTheme="majorHAnsi" w:hAnsiTheme="majorHAnsi"/>
          <w:sz w:val="22"/>
          <w:szCs w:val="22"/>
          <w:lang w:val="el-GR"/>
        </w:rPr>
      </w:pPr>
      <w:r w:rsidRPr="00E26A71">
        <w:rPr>
          <w:rFonts w:asciiTheme="majorHAnsi" w:hAnsiTheme="majorHAnsi"/>
          <w:sz w:val="22"/>
          <w:szCs w:val="22"/>
          <w:lang w:val="el-GR"/>
        </w:rPr>
        <w:t xml:space="preserve">Η ανάλυση πραγματοποιήθηκε με το στατιστικό πακέτο </w:t>
      </w:r>
      <w:r w:rsidRPr="00EF3A5D">
        <w:rPr>
          <w:rFonts w:asciiTheme="majorHAnsi" w:hAnsiTheme="majorHAnsi"/>
          <w:sz w:val="22"/>
          <w:szCs w:val="22"/>
        </w:rPr>
        <w:t>SPSS</w:t>
      </w:r>
      <w:r w:rsidRPr="00E26A71">
        <w:rPr>
          <w:rFonts w:asciiTheme="majorHAnsi" w:hAnsiTheme="majorHAnsi"/>
          <w:sz w:val="22"/>
          <w:szCs w:val="22"/>
          <w:lang w:val="el-GR"/>
        </w:rPr>
        <w:t xml:space="preserve"> 19. Οι μεταβλητές ήταν διατακτικής κλίμακας, επομένως χρησιμοποιήθηκε η τεχνική </w:t>
      </w:r>
      <w:r w:rsidRPr="00EF3A5D">
        <w:rPr>
          <w:rFonts w:asciiTheme="majorHAnsi" w:hAnsiTheme="majorHAnsi"/>
          <w:sz w:val="22"/>
          <w:szCs w:val="22"/>
        </w:rPr>
        <w:t>Pearson</w:t>
      </w:r>
      <w:r w:rsidRPr="00E26A71">
        <w:rPr>
          <w:rFonts w:asciiTheme="majorHAnsi" w:hAnsiTheme="majorHAnsi"/>
          <w:sz w:val="22"/>
          <w:szCs w:val="22"/>
          <w:lang w:val="el-GR"/>
        </w:rPr>
        <w:t xml:space="preserve"> </w:t>
      </w:r>
      <w:r w:rsidRPr="00EF3A5D">
        <w:rPr>
          <w:rFonts w:asciiTheme="majorHAnsi" w:hAnsiTheme="majorHAnsi"/>
          <w:sz w:val="22"/>
          <w:szCs w:val="22"/>
        </w:rPr>
        <w:t>Correlation</w:t>
      </w:r>
      <w:r w:rsidRPr="00E26A71">
        <w:rPr>
          <w:rFonts w:asciiTheme="majorHAnsi" w:hAnsiTheme="majorHAnsi"/>
          <w:sz w:val="22"/>
          <w:szCs w:val="22"/>
          <w:lang w:val="el-GR"/>
        </w:rPr>
        <w:t xml:space="preserve"> </w:t>
      </w:r>
      <w:r w:rsidRPr="00EF3A5D">
        <w:rPr>
          <w:rFonts w:asciiTheme="majorHAnsi" w:hAnsiTheme="majorHAnsi"/>
          <w:sz w:val="22"/>
          <w:szCs w:val="22"/>
        </w:rPr>
        <w:t>r</w:t>
      </w:r>
      <w:r w:rsidRPr="00E26A71">
        <w:rPr>
          <w:rFonts w:asciiTheme="majorHAnsi" w:hAnsiTheme="majorHAnsi"/>
          <w:sz w:val="22"/>
          <w:szCs w:val="22"/>
          <w:lang w:val="el-GR"/>
        </w:rPr>
        <w:t xml:space="preserve"> με συντελεστή συσχέτισης </w:t>
      </w:r>
      <w:r w:rsidRPr="00EF3A5D">
        <w:rPr>
          <w:rFonts w:asciiTheme="majorHAnsi" w:hAnsiTheme="majorHAnsi"/>
          <w:sz w:val="22"/>
          <w:szCs w:val="22"/>
        </w:rPr>
        <w:t>Spearman</w:t>
      </w:r>
      <w:r w:rsidRPr="00E26A71">
        <w:rPr>
          <w:rFonts w:asciiTheme="majorHAnsi" w:hAnsiTheme="majorHAnsi"/>
          <w:sz w:val="22"/>
          <w:szCs w:val="22"/>
          <w:lang w:val="el-GR"/>
        </w:rPr>
        <w:t xml:space="preserve"> ρ. Το επίπεδο σημαντικότητας καθορίστηκε στο α=0,05. Η περιγραφική στατιστική χρησιμοποιήθηκε για την παρουσίαση των συχνοτήτων και της κατανομής των δεδομένων.</w:t>
      </w:r>
    </w:p>
    <w:p w14:paraId="4364599A" w14:textId="77777777" w:rsidR="00363168" w:rsidRPr="00E26A71" w:rsidRDefault="00363168" w:rsidP="00575F33">
      <w:pPr>
        <w:spacing w:beforeLines="240" w:before="576"/>
        <w:ind w:firstLine="284"/>
        <w:jc w:val="both"/>
        <w:rPr>
          <w:b/>
          <w:sz w:val="22"/>
          <w:szCs w:val="22"/>
          <w:lang w:val="el-GR"/>
        </w:rPr>
      </w:pPr>
      <w:r w:rsidRPr="00E26A71">
        <w:rPr>
          <w:b/>
          <w:sz w:val="22"/>
          <w:szCs w:val="22"/>
          <w:lang w:val="el-GR"/>
        </w:rPr>
        <w:t xml:space="preserve">Αποτελέσματα </w:t>
      </w:r>
    </w:p>
    <w:p w14:paraId="7BCE4674" w14:textId="77777777" w:rsidR="00363168" w:rsidRPr="00E26A71" w:rsidRDefault="00363168" w:rsidP="00026893">
      <w:pPr>
        <w:spacing w:before="240"/>
        <w:ind w:firstLine="284"/>
        <w:jc w:val="both"/>
        <w:rPr>
          <w:i/>
          <w:sz w:val="22"/>
          <w:szCs w:val="22"/>
          <w:lang w:val="el-GR"/>
        </w:rPr>
      </w:pPr>
      <w:r w:rsidRPr="00E26A71">
        <w:rPr>
          <w:i/>
          <w:sz w:val="22"/>
          <w:szCs w:val="22"/>
          <w:lang w:val="el-GR"/>
        </w:rPr>
        <w:t>Εισαγωγή</w:t>
      </w:r>
    </w:p>
    <w:p w14:paraId="3371C45B" w14:textId="77777777" w:rsidR="006C5A35" w:rsidRPr="00E26A71" w:rsidRDefault="006C5A35" w:rsidP="006C5A35">
      <w:pPr>
        <w:spacing w:before="240"/>
        <w:ind w:firstLine="284"/>
        <w:jc w:val="both"/>
        <w:rPr>
          <w:i/>
          <w:sz w:val="22"/>
          <w:szCs w:val="22"/>
          <w:lang w:val="el-GR"/>
        </w:rPr>
      </w:pPr>
    </w:p>
    <w:p w14:paraId="7EAACB54" w14:textId="5F98B64A" w:rsidR="00D678E9" w:rsidRPr="00142259" w:rsidRDefault="00363168" w:rsidP="00142259">
      <w:pPr>
        <w:spacing w:beforeLines="240" w:before="576"/>
        <w:ind w:firstLine="284"/>
        <w:contextualSpacing/>
        <w:jc w:val="both"/>
        <w:rPr>
          <w:sz w:val="22"/>
          <w:szCs w:val="22"/>
          <w:lang w:val="el-GR"/>
        </w:rPr>
      </w:pPr>
      <w:r w:rsidRPr="00E26A71">
        <w:rPr>
          <w:sz w:val="22"/>
          <w:szCs w:val="22"/>
          <w:lang w:val="el-GR"/>
        </w:rPr>
        <w:t xml:space="preserve">Η ανάλυση δεδομένων πραγματοποιήθηκε με τη χρήση της στατιστικής τεχνικής </w:t>
      </w:r>
      <w:r w:rsidRPr="003A7AF5">
        <w:rPr>
          <w:sz w:val="22"/>
          <w:szCs w:val="22"/>
        </w:rPr>
        <w:t>Pearson</w:t>
      </w:r>
      <w:r w:rsidRPr="00E26A71">
        <w:rPr>
          <w:sz w:val="22"/>
          <w:szCs w:val="22"/>
          <w:lang w:val="el-GR"/>
        </w:rPr>
        <w:t xml:space="preserve"> </w:t>
      </w:r>
      <w:r w:rsidRPr="003A7AF5">
        <w:rPr>
          <w:sz w:val="22"/>
          <w:szCs w:val="22"/>
        </w:rPr>
        <w:t>Correlation</w:t>
      </w:r>
      <w:r w:rsidRPr="00E26A71">
        <w:rPr>
          <w:sz w:val="22"/>
          <w:szCs w:val="22"/>
          <w:lang w:val="el-GR"/>
        </w:rPr>
        <w:t xml:space="preserve"> </w:t>
      </w:r>
      <w:r w:rsidRPr="003A7AF5">
        <w:rPr>
          <w:sz w:val="22"/>
          <w:szCs w:val="22"/>
        </w:rPr>
        <w:t>r</w:t>
      </w:r>
      <w:r w:rsidRPr="00E26A71">
        <w:rPr>
          <w:sz w:val="22"/>
          <w:szCs w:val="22"/>
          <w:lang w:val="el-GR"/>
        </w:rPr>
        <w:t xml:space="preserve"> και του συντελεστή συσχέτισης </w:t>
      </w:r>
      <w:r w:rsidRPr="003A7AF5">
        <w:rPr>
          <w:sz w:val="22"/>
          <w:szCs w:val="22"/>
        </w:rPr>
        <w:t>Spearman</w:t>
      </w:r>
      <w:r w:rsidRPr="00E26A71">
        <w:rPr>
          <w:sz w:val="22"/>
          <w:szCs w:val="22"/>
          <w:lang w:val="el-GR"/>
        </w:rPr>
        <w:t xml:space="preserve"> ρ. Εξετάστηκαν οι συσχετίσεις μεταξύ του οικονομικού και του μορφωτικού επιπέδου των μητέρων και του βαθμού εμπλοκής τους στη σχολική εκπαίδευση των παιδιών τους. Τα αποτελέσματα διαχωρίστηκαν σε δύο κύριες ενότητες: διαφοροποίηση του οικονομικού και του μορφωτικού επιπέδου ανάλογα με την εμπλοκή.</w:t>
      </w:r>
    </w:p>
    <w:p w14:paraId="794756C4" w14:textId="77777777" w:rsidR="00363168" w:rsidRPr="00E26A71" w:rsidRDefault="00363168" w:rsidP="00575F33">
      <w:pPr>
        <w:spacing w:beforeLines="240" w:before="576"/>
        <w:ind w:firstLine="284"/>
        <w:jc w:val="both"/>
        <w:rPr>
          <w:rFonts w:eastAsia="Times New Roman"/>
          <w:b/>
          <w:sz w:val="22"/>
          <w:szCs w:val="22"/>
          <w:lang w:val="el-GR"/>
        </w:rPr>
      </w:pPr>
      <w:r w:rsidRPr="00E26A71">
        <w:rPr>
          <w:rFonts w:eastAsia="Times New Roman"/>
          <w:b/>
          <w:sz w:val="22"/>
          <w:szCs w:val="22"/>
          <w:lang w:val="el-GR"/>
        </w:rPr>
        <w:t>Συχνότητες Οικονομικού και Μορφωτικού Επιπέδου</w:t>
      </w:r>
    </w:p>
    <w:p w14:paraId="40D883C8" w14:textId="77777777" w:rsidR="00D678E9" w:rsidRPr="00E26A71" w:rsidRDefault="00D678E9" w:rsidP="00372650">
      <w:pPr>
        <w:jc w:val="both"/>
        <w:rPr>
          <w:rFonts w:eastAsia="Times New Roman"/>
          <w:b/>
          <w:i/>
          <w:sz w:val="22"/>
          <w:szCs w:val="22"/>
          <w:lang w:val="el-GR"/>
        </w:rPr>
      </w:pPr>
    </w:p>
    <w:p w14:paraId="52A754CB" w14:textId="041803E7" w:rsidR="00F36002" w:rsidRPr="006A2D5B" w:rsidRDefault="00363168" w:rsidP="006A2D5B">
      <w:pPr>
        <w:ind w:firstLine="284"/>
        <w:jc w:val="both"/>
        <w:rPr>
          <w:rFonts w:asciiTheme="majorHAnsi" w:eastAsia="Times New Roman" w:hAnsiTheme="majorHAnsi" w:cs="Times New Roman"/>
          <w:sz w:val="22"/>
          <w:szCs w:val="22"/>
        </w:rPr>
      </w:pPr>
      <w:r w:rsidRPr="00500AD4">
        <w:rPr>
          <w:rFonts w:asciiTheme="majorHAnsi" w:hAnsiTheme="majorHAnsi"/>
          <w:sz w:val="22"/>
          <w:szCs w:val="22"/>
          <w:lang w:val="el-GR"/>
        </w:rPr>
        <w:t>Από την</w:t>
      </w:r>
      <w:r w:rsidRPr="00500AD4">
        <w:rPr>
          <w:rFonts w:asciiTheme="majorHAnsi" w:hAnsiTheme="majorHAnsi"/>
          <w:b/>
          <w:sz w:val="22"/>
          <w:szCs w:val="22"/>
          <w:lang w:val="el-GR"/>
        </w:rPr>
        <w:t xml:space="preserve"> </w:t>
      </w:r>
      <w:r w:rsidRPr="00500AD4">
        <w:rPr>
          <w:rFonts w:asciiTheme="majorHAnsi" w:hAnsiTheme="majorHAnsi"/>
          <w:sz w:val="22"/>
          <w:szCs w:val="22"/>
          <w:lang w:val="el-GR"/>
        </w:rPr>
        <w:t xml:space="preserve">περιγραφική στατιστική ανάλυση προκύπτει </w:t>
      </w:r>
      <w:r w:rsidR="00500AD4" w:rsidRPr="00500AD4">
        <w:rPr>
          <w:rFonts w:asciiTheme="majorHAnsi" w:eastAsia="Times New Roman" w:hAnsiTheme="majorHAnsi" w:cs="Times New Roman"/>
          <w:sz w:val="22"/>
          <w:szCs w:val="22"/>
        </w:rPr>
        <w:t>ο 27,3% των μητέρων έχει μηνιαίο εισόδημα 100-500 ευρώ, ενώ το 13,6% άνω των 2.000 ευρώ. Παράλληλα, το 27,3% είναι πτυχιούχες ΑΕΙ και το 13,6% απόφοιτες Γυμνασίου. Οι μητέρες με υψηλότερο οικονομικό και μορφωτικό επίπεδο εμπλέκονται περισσότερο στη σχολική εκπαίδευση των παιδιών τους.</w:t>
      </w:r>
    </w:p>
    <w:p w14:paraId="786CD32C" w14:textId="77777777" w:rsidR="00F36002" w:rsidRPr="00E26A71" w:rsidRDefault="00F36002" w:rsidP="00026893">
      <w:pPr>
        <w:spacing w:before="240"/>
        <w:ind w:firstLine="284"/>
        <w:contextualSpacing/>
        <w:jc w:val="both"/>
        <w:rPr>
          <w:sz w:val="22"/>
          <w:szCs w:val="22"/>
          <w:lang w:val="el-GR"/>
        </w:rPr>
      </w:pPr>
    </w:p>
    <w:p w14:paraId="01EE409D" w14:textId="77777777" w:rsidR="005E30B8" w:rsidRPr="003A7AF5" w:rsidRDefault="005E30B8" w:rsidP="00026893">
      <w:pPr>
        <w:pBdr>
          <w:bottom w:val="single" w:sz="4" w:space="1" w:color="auto"/>
        </w:pBdr>
        <w:spacing w:before="240" w:line="360" w:lineRule="auto"/>
        <w:jc w:val="center"/>
        <w:rPr>
          <w:rFonts w:asciiTheme="majorHAnsi" w:hAnsiTheme="majorHAnsi" w:cs="Times New Roman"/>
          <w:sz w:val="22"/>
          <w:szCs w:val="22"/>
          <w:lang w:val="el-GR"/>
        </w:rPr>
      </w:pPr>
      <w:r w:rsidRPr="003A7AF5">
        <w:rPr>
          <w:rFonts w:asciiTheme="majorHAnsi" w:hAnsiTheme="majorHAnsi" w:cs="Times New Roman"/>
          <w:b/>
          <w:sz w:val="22"/>
          <w:szCs w:val="22"/>
          <w:lang w:val="el-GR"/>
        </w:rPr>
        <w:t>Πίνακας 1.1</w:t>
      </w:r>
      <w:r w:rsidRPr="00EF3A5D">
        <w:rPr>
          <w:rFonts w:asciiTheme="majorHAnsi" w:hAnsiTheme="majorHAnsi" w:cs="Times New Roman"/>
          <w:sz w:val="22"/>
          <w:szCs w:val="22"/>
          <w:lang w:val="el-GR"/>
        </w:rPr>
        <w:t xml:space="preserve"> </w:t>
      </w:r>
      <w:r w:rsidRPr="003A7AF5">
        <w:rPr>
          <w:rFonts w:asciiTheme="majorHAnsi" w:hAnsiTheme="majorHAnsi" w:cs="Times New Roman"/>
          <w:b/>
          <w:sz w:val="22"/>
          <w:szCs w:val="22"/>
          <w:lang w:val="el-GR"/>
        </w:rPr>
        <w:t>Συχνότητες οικονομικού επιπέδου μητέρων</w:t>
      </w:r>
    </w:p>
    <w:tbl>
      <w:tblPr>
        <w:tblStyle w:val="TableGrid"/>
        <w:tblW w:w="0" w:type="auto"/>
        <w:tblLook w:val="04A0" w:firstRow="1" w:lastRow="0" w:firstColumn="1" w:lastColumn="0" w:noHBand="0" w:noVBand="1"/>
      </w:tblPr>
      <w:tblGrid>
        <w:gridCol w:w="8516"/>
      </w:tblGrid>
      <w:tr w:rsidR="005E30B8" w:rsidRPr="00EF3A5D" w14:paraId="3E6BE51D" w14:textId="77777777" w:rsidTr="00851DDF">
        <w:tc>
          <w:tcPr>
            <w:tcW w:w="8516" w:type="dxa"/>
            <w:tcBorders>
              <w:top w:val="nil"/>
              <w:left w:val="nil"/>
              <w:bottom w:val="nil"/>
              <w:right w:val="nil"/>
            </w:tcBorders>
          </w:tcPr>
          <w:tbl>
            <w:tblPr>
              <w:tblStyle w:val="TableGrid"/>
              <w:tblW w:w="8465" w:type="dxa"/>
              <w:tblLook w:val="04A0" w:firstRow="1" w:lastRow="0" w:firstColumn="1" w:lastColumn="0" w:noHBand="0" w:noVBand="1"/>
            </w:tblPr>
            <w:tblGrid>
              <w:gridCol w:w="1410"/>
              <w:gridCol w:w="1411"/>
              <w:gridCol w:w="1411"/>
              <w:gridCol w:w="1411"/>
              <w:gridCol w:w="1411"/>
              <w:gridCol w:w="1411"/>
            </w:tblGrid>
            <w:tr w:rsidR="005E30B8" w:rsidRPr="00EF3A5D" w14:paraId="029A353B" w14:textId="77777777" w:rsidTr="003A7AF5">
              <w:trPr>
                <w:trHeight w:val="81"/>
              </w:trPr>
              <w:tc>
                <w:tcPr>
                  <w:tcW w:w="8465" w:type="dxa"/>
                  <w:gridSpan w:val="6"/>
                  <w:tcBorders>
                    <w:top w:val="nil"/>
                    <w:left w:val="nil"/>
                    <w:bottom w:val="nil"/>
                    <w:right w:val="nil"/>
                  </w:tcBorders>
                  <w:vAlign w:val="center"/>
                </w:tcPr>
                <w:p w14:paraId="2C3183CE" w14:textId="77777777" w:rsidR="005E30B8" w:rsidRPr="00EF3A5D" w:rsidRDefault="005E30B8" w:rsidP="002230ED">
                  <w:pPr>
                    <w:spacing w:line="360" w:lineRule="auto"/>
                    <w:contextualSpacing/>
                    <w:rPr>
                      <w:rFonts w:asciiTheme="majorHAnsi" w:hAnsiTheme="majorHAnsi" w:cs="Times New Roman"/>
                      <w:b/>
                      <w:sz w:val="22"/>
                      <w:szCs w:val="22"/>
                      <w:lang w:val="el-GR"/>
                    </w:rPr>
                  </w:pPr>
                </w:p>
              </w:tc>
            </w:tr>
            <w:tr w:rsidR="005E30B8" w:rsidRPr="00EF3A5D" w14:paraId="46D65D71" w14:textId="77777777" w:rsidTr="00202F16">
              <w:trPr>
                <w:trHeight w:val="779"/>
              </w:trPr>
              <w:tc>
                <w:tcPr>
                  <w:tcW w:w="1410" w:type="dxa"/>
                  <w:tcBorders>
                    <w:top w:val="nil"/>
                    <w:left w:val="nil"/>
                    <w:bottom w:val="single" w:sz="4" w:space="0" w:color="auto"/>
                    <w:right w:val="nil"/>
                  </w:tcBorders>
                </w:tcPr>
                <w:p w14:paraId="70F8D62C" w14:textId="77777777" w:rsidR="005E30B8" w:rsidRPr="00EF3A5D" w:rsidRDefault="005E30B8" w:rsidP="00882E02">
                  <w:pPr>
                    <w:spacing w:line="360" w:lineRule="auto"/>
                    <w:contextualSpacing/>
                    <w:jc w:val="center"/>
                    <w:rPr>
                      <w:rFonts w:asciiTheme="majorHAnsi" w:hAnsiTheme="majorHAnsi" w:cs="Times New Roman"/>
                      <w:b/>
                      <w:sz w:val="22"/>
                      <w:szCs w:val="22"/>
                      <w:lang w:val="el-GR"/>
                    </w:rPr>
                  </w:pPr>
                </w:p>
              </w:tc>
              <w:tc>
                <w:tcPr>
                  <w:tcW w:w="1411" w:type="dxa"/>
                  <w:tcBorders>
                    <w:top w:val="nil"/>
                    <w:left w:val="nil"/>
                    <w:bottom w:val="single" w:sz="4" w:space="0" w:color="auto"/>
                    <w:right w:val="nil"/>
                  </w:tcBorders>
                </w:tcPr>
                <w:p w14:paraId="153D499B" w14:textId="77777777" w:rsidR="005E30B8" w:rsidRPr="00851DDF" w:rsidRDefault="005E30B8" w:rsidP="00882E02">
                  <w:pPr>
                    <w:spacing w:line="360" w:lineRule="auto"/>
                    <w:contextualSpacing/>
                    <w:jc w:val="center"/>
                    <w:rPr>
                      <w:rFonts w:asciiTheme="majorHAnsi" w:hAnsiTheme="majorHAnsi" w:cs="Times New Roman"/>
                      <w:b/>
                      <w:sz w:val="22"/>
                      <w:szCs w:val="22"/>
                      <w:lang w:val="el-GR"/>
                    </w:rPr>
                  </w:pPr>
                </w:p>
              </w:tc>
              <w:tc>
                <w:tcPr>
                  <w:tcW w:w="1411" w:type="dxa"/>
                  <w:tcBorders>
                    <w:top w:val="nil"/>
                    <w:left w:val="nil"/>
                    <w:bottom w:val="single" w:sz="4" w:space="0" w:color="auto"/>
                    <w:right w:val="nil"/>
                  </w:tcBorders>
                  <w:vAlign w:val="bottom"/>
                </w:tcPr>
                <w:p w14:paraId="6B3D6DD6" w14:textId="77777777" w:rsidR="005E30B8" w:rsidRPr="00851DDF" w:rsidRDefault="0040387F" w:rsidP="00882E02">
                  <w:pPr>
                    <w:spacing w:line="360" w:lineRule="auto"/>
                    <w:contextualSpacing/>
                    <w:jc w:val="center"/>
                    <w:rPr>
                      <w:rFonts w:asciiTheme="majorHAnsi" w:hAnsiTheme="majorHAnsi" w:cs="Times New Roman"/>
                      <w:b/>
                      <w:sz w:val="22"/>
                      <w:szCs w:val="22"/>
                    </w:rPr>
                  </w:pPr>
                  <w:r>
                    <w:rPr>
                      <w:rFonts w:asciiTheme="majorHAnsi" w:hAnsiTheme="majorHAnsi" w:cs="Times New Roman"/>
                      <w:b/>
                      <w:sz w:val="22"/>
                      <w:szCs w:val="22"/>
                    </w:rPr>
                    <w:t>Συχνότητα</w:t>
                  </w:r>
                </w:p>
              </w:tc>
              <w:tc>
                <w:tcPr>
                  <w:tcW w:w="1411" w:type="dxa"/>
                  <w:tcBorders>
                    <w:top w:val="nil"/>
                    <w:left w:val="nil"/>
                    <w:bottom w:val="single" w:sz="4" w:space="0" w:color="auto"/>
                    <w:right w:val="nil"/>
                  </w:tcBorders>
                  <w:vAlign w:val="bottom"/>
                </w:tcPr>
                <w:p w14:paraId="2EABA33A" w14:textId="77777777" w:rsidR="005E30B8" w:rsidRPr="00851DDF" w:rsidRDefault="0040387F" w:rsidP="00882E02">
                  <w:pPr>
                    <w:spacing w:line="360" w:lineRule="auto"/>
                    <w:contextualSpacing/>
                    <w:jc w:val="center"/>
                    <w:rPr>
                      <w:rFonts w:asciiTheme="majorHAnsi" w:hAnsiTheme="majorHAnsi" w:cs="Times New Roman"/>
                      <w:b/>
                      <w:sz w:val="22"/>
                      <w:szCs w:val="22"/>
                    </w:rPr>
                  </w:pPr>
                  <w:r>
                    <w:rPr>
                      <w:rFonts w:asciiTheme="majorHAnsi" w:hAnsiTheme="majorHAnsi" w:cs="Times New Roman"/>
                      <w:b/>
                      <w:sz w:val="22"/>
                      <w:szCs w:val="22"/>
                    </w:rPr>
                    <w:t>Ποσοστό %</w:t>
                  </w:r>
                </w:p>
              </w:tc>
              <w:tc>
                <w:tcPr>
                  <w:tcW w:w="1411" w:type="dxa"/>
                  <w:tcBorders>
                    <w:top w:val="nil"/>
                    <w:left w:val="nil"/>
                    <w:bottom w:val="single" w:sz="4" w:space="0" w:color="auto"/>
                    <w:right w:val="nil"/>
                  </w:tcBorders>
                  <w:vAlign w:val="bottom"/>
                </w:tcPr>
                <w:p w14:paraId="09A1C4E9" w14:textId="77777777" w:rsidR="005E30B8" w:rsidRPr="00851DDF" w:rsidRDefault="0040387F" w:rsidP="00882E02">
                  <w:pPr>
                    <w:spacing w:line="360" w:lineRule="auto"/>
                    <w:contextualSpacing/>
                    <w:jc w:val="center"/>
                    <w:rPr>
                      <w:rFonts w:asciiTheme="majorHAnsi" w:hAnsiTheme="majorHAnsi" w:cs="Times New Roman"/>
                      <w:b/>
                      <w:sz w:val="22"/>
                      <w:szCs w:val="22"/>
                    </w:rPr>
                  </w:pPr>
                  <w:r>
                    <w:rPr>
                      <w:rFonts w:asciiTheme="majorHAnsi" w:hAnsiTheme="majorHAnsi" w:cs="Times New Roman"/>
                      <w:b/>
                      <w:sz w:val="22"/>
                      <w:szCs w:val="22"/>
                    </w:rPr>
                    <w:t>Έγκυρο Ποσοστό</w:t>
                  </w:r>
                </w:p>
              </w:tc>
              <w:tc>
                <w:tcPr>
                  <w:tcW w:w="1411" w:type="dxa"/>
                  <w:tcBorders>
                    <w:top w:val="nil"/>
                    <w:left w:val="nil"/>
                    <w:bottom w:val="single" w:sz="4" w:space="0" w:color="auto"/>
                    <w:right w:val="nil"/>
                  </w:tcBorders>
                  <w:vAlign w:val="bottom"/>
                </w:tcPr>
                <w:p w14:paraId="1E0BD425" w14:textId="77777777" w:rsidR="005E30B8" w:rsidRPr="00851DDF" w:rsidRDefault="0040387F" w:rsidP="00882E02">
                  <w:pPr>
                    <w:spacing w:line="360" w:lineRule="auto"/>
                    <w:contextualSpacing/>
                    <w:jc w:val="center"/>
                    <w:rPr>
                      <w:rFonts w:asciiTheme="majorHAnsi" w:hAnsiTheme="majorHAnsi" w:cs="Times New Roman"/>
                      <w:b/>
                      <w:sz w:val="22"/>
                      <w:szCs w:val="22"/>
                    </w:rPr>
                  </w:pPr>
                  <w:r>
                    <w:rPr>
                      <w:rFonts w:asciiTheme="majorHAnsi" w:hAnsiTheme="majorHAnsi" w:cs="Times New Roman"/>
                      <w:b/>
                      <w:sz w:val="22"/>
                      <w:szCs w:val="22"/>
                    </w:rPr>
                    <w:t>Αθροιστικό Ποσοστό</w:t>
                  </w:r>
                </w:p>
              </w:tc>
            </w:tr>
            <w:tr w:rsidR="005E30B8" w:rsidRPr="00EF3A5D" w14:paraId="2C574E77" w14:textId="77777777" w:rsidTr="00202F16">
              <w:trPr>
                <w:trHeight w:val="390"/>
              </w:trPr>
              <w:tc>
                <w:tcPr>
                  <w:tcW w:w="1410" w:type="dxa"/>
                  <w:tcBorders>
                    <w:left w:val="nil"/>
                    <w:bottom w:val="nil"/>
                    <w:right w:val="nil"/>
                  </w:tcBorders>
                </w:tcPr>
                <w:p w14:paraId="28CB9543" w14:textId="77777777" w:rsidR="005E30B8" w:rsidRPr="00EF3A5D" w:rsidRDefault="005E30B8" w:rsidP="00882E02">
                  <w:pPr>
                    <w:spacing w:line="360" w:lineRule="auto"/>
                    <w:contextualSpacing/>
                    <w:jc w:val="center"/>
                    <w:rPr>
                      <w:rFonts w:asciiTheme="majorHAnsi" w:hAnsiTheme="majorHAnsi" w:cs="Times New Roman"/>
                      <w:sz w:val="22"/>
                      <w:szCs w:val="22"/>
                    </w:rPr>
                  </w:pPr>
                </w:p>
              </w:tc>
              <w:tc>
                <w:tcPr>
                  <w:tcW w:w="1411" w:type="dxa"/>
                  <w:tcBorders>
                    <w:top w:val="single" w:sz="4" w:space="0" w:color="auto"/>
                    <w:left w:val="nil"/>
                    <w:bottom w:val="nil"/>
                    <w:right w:val="nil"/>
                  </w:tcBorders>
                </w:tcPr>
                <w:p w14:paraId="252A03AF"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100-500</w:t>
                  </w:r>
                </w:p>
              </w:tc>
              <w:tc>
                <w:tcPr>
                  <w:tcW w:w="1411" w:type="dxa"/>
                  <w:tcBorders>
                    <w:top w:val="single" w:sz="4" w:space="0" w:color="auto"/>
                    <w:left w:val="nil"/>
                    <w:bottom w:val="nil"/>
                    <w:right w:val="nil"/>
                  </w:tcBorders>
                  <w:vAlign w:val="bottom"/>
                </w:tcPr>
                <w:p w14:paraId="57DC09F8"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6</w:t>
                  </w:r>
                </w:p>
              </w:tc>
              <w:tc>
                <w:tcPr>
                  <w:tcW w:w="1411" w:type="dxa"/>
                  <w:tcBorders>
                    <w:top w:val="single" w:sz="4" w:space="0" w:color="auto"/>
                    <w:left w:val="nil"/>
                    <w:bottom w:val="nil"/>
                    <w:right w:val="nil"/>
                  </w:tcBorders>
                  <w:vAlign w:val="bottom"/>
                </w:tcPr>
                <w:p w14:paraId="2F774E2E"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27,3</w:t>
                  </w:r>
                </w:p>
              </w:tc>
              <w:tc>
                <w:tcPr>
                  <w:tcW w:w="1411" w:type="dxa"/>
                  <w:tcBorders>
                    <w:top w:val="single" w:sz="4" w:space="0" w:color="auto"/>
                    <w:left w:val="nil"/>
                    <w:bottom w:val="nil"/>
                    <w:right w:val="nil"/>
                  </w:tcBorders>
                  <w:vAlign w:val="bottom"/>
                </w:tcPr>
                <w:p w14:paraId="0EFF0172"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27,3</w:t>
                  </w:r>
                </w:p>
              </w:tc>
              <w:tc>
                <w:tcPr>
                  <w:tcW w:w="1411" w:type="dxa"/>
                  <w:tcBorders>
                    <w:top w:val="single" w:sz="4" w:space="0" w:color="auto"/>
                    <w:left w:val="nil"/>
                    <w:bottom w:val="nil"/>
                    <w:right w:val="nil"/>
                  </w:tcBorders>
                  <w:vAlign w:val="bottom"/>
                </w:tcPr>
                <w:p w14:paraId="67E737DF"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27,3</w:t>
                  </w:r>
                </w:p>
              </w:tc>
            </w:tr>
            <w:tr w:rsidR="005E30B8" w:rsidRPr="00EF3A5D" w14:paraId="7109B87E" w14:textId="77777777" w:rsidTr="00202F16">
              <w:trPr>
                <w:trHeight w:val="390"/>
              </w:trPr>
              <w:tc>
                <w:tcPr>
                  <w:tcW w:w="1410" w:type="dxa"/>
                  <w:tcBorders>
                    <w:top w:val="nil"/>
                    <w:left w:val="nil"/>
                    <w:bottom w:val="nil"/>
                    <w:right w:val="nil"/>
                  </w:tcBorders>
                </w:tcPr>
                <w:p w14:paraId="2C69E6A6" w14:textId="77777777" w:rsidR="005E30B8" w:rsidRPr="00EF3A5D" w:rsidRDefault="005E30B8" w:rsidP="00882E02">
                  <w:pPr>
                    <w:spacing w:line="360" w:lineRule="auto"/>
                    <w:contextualSpacing/>
                    <w:jc w:val="center"/>
                    <w:rPr>
                      <w:rFonts w:asciiTheme="majorHAnsi" w:hAnsiTheme="majorHAnsi" w:cs="Times New Roman"/>
                      <w:b/>
                      <w:sz w:val="22"/>
                      <w:szCs w:val="22"/>
                    </w:rPr>
                  </w:pPr>
                </w:p>
              </w:tc>
              <w:tc>
                <w:tcPr>
                  <w:tcW w:w="1411" w:type="dxa"/>
                  <w:tcBorders>
                    <w:top w:val="nil"/>
                    <w:left w:val="nil"/>
                    <w:bottom w:val="nil"/>
                    <w:right w:val="nil"/>
                  </w:tcBorders>
                </w:tcPr>
                <w:p w14:paraId="75C249B7"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500-1000</w:t>
                  </w:r>
                </w:p>
              </w:tc>
              <w:tc>
                <w:tcPr>
                  <w:tcW w:w="1411" w:type="dxa"/>
                  <w:tcBorders>
                    <w:top w:val="nil"/>
                    <w:left w:val="nil"/>
                    <w:bottom w:val="nil"/>
                    <w:right w:val="nil"/>
                  </w:tcBorders>
                  <w:vAlign w:val="bottom"/>
                </w:tcPr>
                <w:p w14:paraId="3992E266"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3</w:t>
                  </w:r>
                </w:p>
              </w:tc>
              <w:tc>
                <w:tcPr>
                  <w:tcW w:w="1411" w:type="dxa"/>
                  <w:tcBorders>
                    <w:top w:val="nil"/>
                    <w:left w:val="nil"/>
                    <w:bottom w:val="nil"/>
                    <w:right w:val="nil"/>
                  </w:tcBorders>
                  <w:vAlign w:val="bottom"/>
                </w:tcPr>
                <w:p w14:paraId="530432B4"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13,6</w:t>
                  </w:r>
                </w:p>
              </w:tc>
              <w:tc>
                <w:tcPr>
                  <w:tcW w:w="1411" w:type="dxa"/>
                  <w:tcBorders>
                    <w:top w:val="nil"/>
                    <w:left w:val="nil"/>
                    <w:bottom w:val="nil"/>
                    <w:right w:val="nil"/>
                  </w:tcBorders>
                  <w:vAlign w:val="bottom"/>
                </w:tcPr>
                <w:p w14:paraId="631A0073"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13,6</w:t>
                  </w:r>
                </w:p>
              </w:tc>
              <w:tc>
                <w:tcPr>
                  <w:tcW w:w="1411" w:type="dxa"/>
                  <w:tcBorders>
                    <w:top w:val="nil"/>
                    <w:left w:val="nil"/>
                    <w:bottom w:val="nil"/>
                    <w:right w:val="nil"/>
                  </w:tcBorders>
                  <w:vAlign w:val="bottom"/>
                </w:tcPr>
                <w:p w14:paraId="77902C8B"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40,9</w:t>
                  </w:r>
                </w:p>
              </w:tc>
            </w:tr>
            <w:tr w:rsidR="005E30B8" w:rsidRPr="00EF3A5D" w14:paraId="2D8B07BA" w14:textId="77777777" w:rsidTr="00202F16">
              <w:trPr>
                <w:trHeight w:val="390"/>
              </w:trPr>
              <w:tc>
                <w:tcPr>
                  <w:tcW w:w="1410" w:type="dxa"/>
                  <w:tcBorders>
                    <w:top w:val="nil"/>
                    <w:left w:val="nil"/>
                    <w:bottom w:val="nil"/>
                    <w:right w:val="nil"/>
                  </w:tcBorders>
                </w:tcPr>
                <w:p w14:paraId="1CF7BE79" w14:textId="77777777" w:rsidR="005E30B8" w:rsidRPr="00EF3A5D" w:rsidRDefault="005E30B8" w:rsidP="00882E02">
                  <w:pPr>
                    <w:spacing w:line="360" w:lineRule="auto"/>
                    <w:contextualSpacing/>
                    <w:jc w:val="center"/>
                    <w:rPr>
                      <w:rFonts w:asciiTheme="majorHAnsi" w:hAnsiTheme="majorHAnsi" w:cs="Times New Roman"/>
                      <w:b/>
                      <w:sz w:val="22"/>
                      <w:szCs w:val="22"/>
                    </w:rPr>
                  </w:pPr>
                </w:p>
              </w:tc>
              <w:tc>
                <w:tcPr>
                  <w:tcW w:w="1411" w:type="dxa"/>
                  <w:tcBorders>
                    <w:top w:val="nil"/>
                    <w:left w:val="nil"/>
                    <w:bottom w:val="nil"/>
                    <w:right w:val="nil"/>
                  </w:tcBorders>
                </w:tcPr>
                <w:p w14:paraId="6752F5CE"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1000-1500</w:t>
                  </w:r>
                </w:p>
              </w:tc>
              <w:tc>
                <w:tcPr>
                  <w:tcW w:w="1411" w:type="dxa"/>
                  <w:tcBorders>
                    <w:top w:val="nil"/>
                    <w:left w:val="nil"/>
                    <w:bottom w:val="nil"/>
                    <w:right w:val="nil"/>
                  </w:tcBorders>
                  <w:vAlign w:val="bottom"/>
                </w:tcPr>
                <w:p w14:paraId="74ACD578"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6</w:t>
                  </w:r>
                </w:p>
              </w:tc>
              <w:tc>
                <w:tcPr>
                  <w:tcW w:w="1411" w:type="dxa"/>
                  <w:tcBorders>
                    <w:top w:val="nil"/>
                    <w:left w:val="nil"/>
                    <w:bottom w:val="nil"/>
                    <w:right w:val="nil"/>
                  </w:tcBorders>
                  <w:vAlign w:val="bottom"/>
                </w:tcPr>
                <w:p w14:paraId="2586638B"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27,3</w:t>
                  </w:r>
                </w:p>
              </w:tc>
              <w:tc>
                <w:tcPr>
                  <w:tcW w:w="1411" w:type="dxa"/>
                  <w:tcBorders>
                    <w:top w:val="nil"/>
                    <w:left w:val="nil"/>
                    <w:bottom w:val="nil"/>
                    <w:right w:val="nil"/>
                  </w:tcBorders>
                  <w:vAlign w:val="bottom"/>
                </w:tcPr>
                <w:p w14:paraId="2FA58438"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27,3</w:t>
                  </w:r>
                </w:p>
              </w:tc>
              <w:tc>
                <w:tcPr>
                  <w:tcW w:w="1411" w:type="dxa"/>
                  <w:tcBorders>
                    <w:top w:val="nil"/>
                    <w:left w:val="nil"/>
                    <w:bottom w:val="nil"/>
                    <w:right w:val="nil"/>
                  </w:tcBorders>
                  <w:vAlign w:val="bottom"/>
                </w:tcPr>
                <w:p w14:paraId="7BCE1F13"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68,2</w:t>
                  </w:r>
                </w:p>
              </w:tc>
            </w:tr>
            <w:tr w:rsidR="005E30B8" w:rsidRPr="00EF3A5D" w14:paraId="1EF2D5B2" w14:textId="77777777" w:rsidTr="00202F16">
              <w:trPr>
                <w:trHeight w:val="368"/>
              </w:trPr>
              <w:tc>
                <w:tcPr>
                  <w:tcW w:w="1410" w:type="dxa"/>
                  <w:tcBorders>
                    <w:top w:val="nil"/>
                    <w:left w:val="nil"/>
                    <w:bottom w:val="nil"/>
                    <w:right w:val="nil"/>
                  </w:tcBorders>
                </w:tcPr>
                <w:p w14:paraId="49B42CBB" w14:textId="77777777" w:rsidR="005E30B8" w:rsidRPr="00EF3A5D" w:rsidRDefault="005E30B8" w:rsidP="00882E02">
                  <w:pPr>
                    <w:spacing w:line="360" w:lineRule="auto"/>
                    <w:contextualSpacing/>
                    <w:jc w:val="center"/>
                    <w:rPr>
                      <w:rFonts w:asciiTheme="majorHAnsi" w:hAnsiTheme="majorHAnsi" w:cs="Times New Roman"/>
                      <w:b/>
                      <w:sz w:val="22"/>
                      <w:szCs w:val="22"/>
                    </w:rPr>
                  </w:pPr>
                </w:p>
              </w:tc>
              <w:tc>
                <w:tcPr>
                  <w:tcW w:w="1411" w:type="dxa"/>
                  <w:tcBorders>
                    <w:top w:val="nil"/>
                    <w:left w:val="nil"/>
                    <w:bottom w:val="nil"/>
                    <w:right w:val="nil"/>
                  </w:tcBorders>
                </w:tcPr>
                <w:p w14:paraId="2024EAB0"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1500-2000</w:t>
                  </w:r>
                </w:p>
              </w:tc>
              <w:tc>
                <w:tcPr>
                  <w:tcW w:w="1411" w:type="dxa"/>
                  <w:tcBorders>
                    <w:top w:val="nil"/>
                    <w:left w:val="nil"/>
                    <w:bottom w:val="nil"/>
                    <w:right w:val="nil"/>
                  </w:tcBorders>
                  <w:vAlign w:val="bottom"/>
                </w:tcPr>
                <w:p w14:paraId="434C12DE"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4</w:t>
                  </w:r>
                </w:p>
              </w:tc>
              <w:tc>
                <w:tcPr>
                  <w:tcW w:w="1411" w:type="dxa"/>
                  <w:tcBorders>
                    <w:top w:val="nil"/>
                    <w:left w:val="nil"/>
                    <w:bottom w:val="nil"/>
                    <w:right w:val="nil"/>
                  </w:tcBorders>
                  <w:vAlign w:val="bottom"/>
                </w:tcPr>
                <w:p w14:paraId="587C9993"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18,2</w:t>
                  </w:r>
                </w:p>
              </w:tc>
              <w:tc>
                <w:tcPr>
                  <w:tcW w:w="1411" w:type="dxa"/>
                  <w:tcBorders>
                    <w:top w:val="nil"/>
                    <w:left w:val="nil"/>
                    <w:bottom w:val="nil"/>
                    <w:right w:val="nil"/>
                  </w:tcBorders>
                  <w:vAlign w:val="bottom"/>
                </w:tcPr>
                <w:p w14:paraId="3F1C8ED1"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18,2</w:t>
                  </w:r>
                </w:p>
              </w:tc>
              <w:tc>
                <w:tcPr>
                  <w:tcW w:w="1411" w:type="dxa"/>
                  <w:tcBorders>
                    <w:top w:val="nil"/>
                    <w:left w:val="nil"/>
                    <w:bottom w:val="nil"/>
                    <w:right w:val="nil"/>
                  </w:tcBorders>
                  <w:vAlign w:val="bottom"/>
                </w:tcPr>
                <w:p w14:paraId="459FCFC7" w14:textId="77777777" w:rsidR="005E30B8" w:rsidRPr="00EF3A5D" w:rsidRDefault="005E30B8" w:rsidP="00882E02">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86,4</w:t>
                  </w:r>
                </w:p>
              </w:tc>
            </w:tr>
            <w:tr w:rsidR="005E30B8" w:rsidRPr="00EF3A5D" w14:paraId="10B4ADB8" w14:textId="77777777" w:rsidTr="00202F16">
              <w:trPr>
                <w:trHeight w:val="390"/>
              </w:trPr>
              <w:tc>
                <w:tcPr>
                  <w:tcW w:w="1410" w:type="dxa"/>
                  <w:tcBorders>
                    <w:top w:val="nil"/>
                    <w:left w:val="nil"/>
                    <w:bottom w:val="nil"/>
                    <w:right w:val="nil"/>
                  </w:tcBorders>
                </w:tcPr>
                <w:p w14:paraId="64FCBD51" w14:textId="77777777" w:rsidR="005E30B8" w:rsidRPr="00EF3A5D" w:rsidRDefault="005E30B8" w:rsidP="00882E02">
                  <w:pPr>
                    <w:spacing w:line="360" w:lineRule="auto"/>
                    <w:contextualSpacing/>
                    <w:jc w:val="center"/>
                    <w:rPr>
                      <w:rFonts w:asciiTheme="majorHAnsi" w:hAnsiTheme="majorHAnsi" w:cs="Times New Roman"/>
                      <w:b/>
                      <w:sz w:val="22"/>
                      <w:szCs w:val="22"/>
                    </w:rPr>
                  </w:pPr>
                </w:p>
              </w:tc>
              <w:tc>
                <w:tcPr>
                  <w:tcW w:w="7055" w:type="dxa"/>
                  <w:gridSpan w:val="5"/>
                  <w:tcBorders>
                    <w:top w:val="nil"/>
                    <w:left w:val="nil"/>
                    <w:bottom w:val="single" w:sz="4" w:space="0" w:color="auto"/>
                    <w:right w:val="nil"/>
                  </w:tcBorders>
                  <w:vAlign w:val="center"/>
                </w:tcPr>
                <w:p w14:paraId="4EF7BA58" w14:textId="77777777" w:rsidR="005E30B8" w:rsidRPr="00EF3A5D" w:rsidRDefault="005E30B8" w:rsidP="00202F16">
                  <w:pPr>
                    <w:spacing w:line="360" w:lineRule="auto"/>
                    <w:contextualSpacing/>
                    <w:rPr>
                      <w:rFonts w:asciiTheme="majorHAnsi" w:hAnsiTheme="majorHAnsi" w:cs="Times New Roman"/>
                      <w:sz w:val="22"/>
                      <w:szCs w:val="22"/>
                    </w:rPr>
                  </w:pPr>
                  <w:r w:rsidRPr="00EF3A5D">
                    <w:rPr>
                      <w:rFonts w:asciiTheme="majorHAnsi" w:hAnsiTheme="majorHAnsi" w:cs="Times New Roman"/>
                      <w:sz w:val="22"/>
                      <w:szCs w:val="22"/>
                    </w:rPr>
                    <w:t xml:space="preserve">2000 και πάνω        </w:t>
                  </w:r>
                  <w:r w:rsidR="00202F16">
                    <w:rPr>
                      <w:rFonts w:asciiTheme="majorHAnsi" w:hAnsiTheme="majorHAnsi" w:cs="Times New Roman"/>
                      <w:sz w:val="22"/>
                      <w:szCs w:val="22"/>
                    </w:rPr>
                    <w:t xml:space="preserve">    </w:t>
                  </w:r>
                  <w:r w:rsidRPr="00EF3A5D">
                    <w:rPr>
                      <w:rFonts w:asciiTheme="majorHAnsi" w:hAnsiTheme="majorHAnsi" w:cs="Times New Roman"/>
                      <w:sz w:val="22"/>
                      <w:szCs w:val="22"/>
                    </w:rPr>
                    <w:t xml:space="preserve"> 3                   </w:t>
                  </w:r>
                  <w:r w:rsidR="00202F16">
                    <w:rPr>
                      <w:rFonts w:asciiTheme="majorHAnsi" w:hAnsiTheme="majorHAnsi" w:cs="Times New Roman"/>
                      <w:sz w:val="22"/>
                      <w:szCs w:val="22"/>
                    </w:rPr>
                    <w:t xml:space="preserve">     </w:t>
                  </w:r>
                  <w:r w:rsidRPr="00EF3A5D">
                    <w:rPr>
                      <w:rFonts w:asciiTheme="majorHAnsi" w:hAnsiTheme="majorHAnsi" w:cs="Times New Roman"/>
                      <w:sz w:val="22"/>
                      <w:szCs w:val="22"/>
                    </w:rPr>
                    <w:t xml:space="preserve">13,6               </w:t>
                  </w:r>
                  <w:r w:rsidR="00202F16">
                    <w:rPr>
                      <w:rFonts w:asciiTheme="majorHAnsi" w:hAnsiTheme="majorHAnsi" w:cs="Times New Roman"/>
                      <w:sz w:val="22"/>
                      <w:szCs w:val="22"/>
                    </w:rPr>
                    <w:t xml:space="preserve">    </w:t>
                  </w:r>
                  <w:r w:rsidRPr="00EF3A5D">
                    <w:rPr>
                      <w:rFonts w:asciiTheme="majorHAnsi" w:hAnsiTheme="majorHAnsi" w:cs="Times New Roman"/>
                      <w:sz w:val="22"/>
                      <w:szCs w:val="22"/>
                    </w:rPr>
                    <w:t xml:space="preserve"> 13,6                </w:t>
                  </w:r>
                  <w:r w:rsidR="00202F16">
                    <w:rPr>
                      <w:rFonts w:asciiTheme="majorHAnsi" w:hAnsiTheme="majorHAnsi" w:cs="Times New Roman"/>
                      <w:sz w:val="22"/>
                      <w:szCs w:val="22"/>
                    </w:rPr>
                    <w:t xml:space="preserve">   </w:t>
                  </w:r>
                  <w:r w:rsidRPr="00EF3A5D">
                    <w:rPr>
                      <w:rFonts w:asciiTheme="majorHAnsi" w:hAnsiTheme="majorHAnsi" w:cs="Times New Roman"/>
                      <w:sz w:val="22"/>
                      <w:szCs w:val="22"/>
                    </w:rPr>
                    <w:t>100,0</w:t>
                  </w:r>
                </w:p>
              </w:tc>
            </w:tr>
            <w:tr w:rsidR="005E30B8" w:rsidRPr="00EF3A5D" w14:paraId="73851AC9" w14:textId="77777777" w:rsidTr="00851DDF">
              <w:trPr>
                <w:trHeight w:val="441"/>
              </w:trPr>
              <w:tc>
                <w:tcPr>
                  <w:tcW w:w="1410" w:type="dxa"/>
                  <w:tcBorders>
                    <w:top w:val="nil"/>
                    <w:left w:val="nil"/>
                    <w:right w:val="nil"/>
                  </w:tcBorders>
                </w:tcPr>
                <w:p w14:paraId="7E7926F5" w14:textId="77777777" w:rsidR="005E30B8" w:rsidRPr="00EF3A5D" w:rsidRDefault="005E30B8" w:rsidP="00882E02">
                  <w:pPr>
                    <w:spacing w:line="360" w:lineRule="auto"/>
                    <w:contextualSpacing/>
                    <w:jc w:val="center"/>
                    <w:rPr>
                      <w:rFonts w:asciiTheme="majorHAnsi" w:hAnsiTheme="majorHAnsi" w:cs="Times New Roman"/>
                      <w:b/>
                      <w:sz w:val="22"/>
                      <w:szCs w:val="22"/>
                    </w:rPr>
                  </w:pPr>
                </w:p>
              </w:tc>
              <w:tc>
                <w:tcPr>
                  <w:tcW w:w="1411" w:type="dxa"/>
                  <w:tcBorders>
                    <w:left w:val="nil"/>
                    <w:right w:val="nil"/>
                  </w:tcBorders>
                </w:tcPr>
                <w:p w14:paraId="08D89146" w14:textId="77777777" w:rsidR="005E30B8" w:rsidRPr="00A62152" w:rsidRDefault="0040387F" w:rsidP="00882E02">
                  <w:pPr>
                    <w:spacing w:line="360" w:lineRule="auto"/>
                    <w:contextualSpacing/>
                    <w:jc w:val="center"/>
                    <w:rPr>
                      <w:rFonts w:asciiTheme="majorHAnsi" w:hAnsiTheme="majorHAnsi" w:cs="Times New Roman"/>
                      <w:b/>
                      <w:sz w:val="22"/>
                      <w:szCs w:val="22"/>
                      <w:lang w:val="el-GR"/>
                    </w:rPr>
                  </w:pPr>
                  <w:r>
                    <w:rPr>
                      <w:rFonts w:asciiTheme="majorHAnsi" w:hAnsiTheme="majorHAnsi" w:cs="Times New Roman"/>
                      <w:b/>
                      <w:sz w:val="22"/>
                      <w:szCs w:val="22"/>
                    </w:rPr>
                    <w:t>Σύνολο</w:t>
                  </w:r>
                </w:p>
              </w:tc>
              <w:tc>
                <w:tcPr>
                  <w:tcW w:w="1411" w:type="dxa"/>
                  <w:tcBorders>
                    <w:left w:val="nil"/>
                    <w:right w:val="nil"/>
                  </w:tcBorders>
                  <w:vAlign w:val="center"/>
                </w:tcPr>
                <w:p w14:paraId="7749DF1A" w14:textId="77777777" w:rsidR="005E30B8" w:rsidRPr="00A62152" w:rsidRDefault="005E30B8" w:rsidP="00882E02">
                  <w:pPr>
                    <w:spacing w:line="360" w:lineRule="auto"/>
                    <w:contextualSpacing/>
                    <w:jc w:val="center"/>
                    <w:rPr>
                      <w:rFonts w:asciiTheme="majorHAnsi" w:hAnsiTheme="majorHAnsi" w:cs="Times New Roman"/>
                      <w:b/>
                      <w:sz w:val="22"/>
                      <w:szCs w:val="22"/>
                    </w:rPr>
                  </w:pPr>
                  <w:r w:rsidRPr="00A62152">
                    <w:rPr>
                      <w:rFonts w:asciiTheme="majorHAnsi" w:hAnsiTheme="majorHAnsi" w:cs="Times New Roman"/>
                      <w:b/>
                      <w:sz w:val="22"/>
                      <w:szCs w:val="22"/>
                    </w:rPr>
                    <w:t>22</w:t>
                  </w:r>
                </w:p>
              </w:tc>
              <w:tc>
                <w:tcPr>
                  <w:tcW w:w="1411" w:type="dxa"/>
                  <w:tcBorders>
                    <w:left w:val="nil"/>
                    <w:right w:val="nil"/>
                  </w:tcBorders>
                  <w:vAlign w:val="center"/>
                </w:tcPr>
                <w:p w14:paraId="6800DCE2" w14:textId="77777777" w:rsidR="005E30B8" w:rsidRPr="00A62152" w:rsidRDefault="005E30B8" w:rsidP="00882E02">
                  <w:pPr>
                    <w:spacing w:line="360" w:lineRule="auto"/>
                    <w:contextualSpacing/>
                    <w:jc w:val="center"/>
                    <w:rPr>
                      <w:rFonts w:asciiTheme="majorHAnsi" w:hAnsiTheme="majorHAnsi" w:cs="Times New Roman"/>
                      <w:b/>
                      <w:sz w:val="22"/>
                      <w:szCs w:val="22"/>
                    </w:rPr>
                  </w:pPr>
                  <w:r w:rsidRPr="00A62152">
                    <w:rPr>
                      <w:rFonts w:asciiTheme="majorHAnsi" w:hAnsiTheme="majorHAnsi" w:cs="Times New Roman"/>
                      <w:b/>
                      <w:sz w:val="22"/>
                      <w:szCs w:val="22"/>
                    </w:rPr>
                    <w:t>100,0</w:t>
                  </w:r>
                </w:p>
              </w:tc>
              <w:tc>
                <w:tcPr>
                  <w:tcW w:w="1411" w:type="dxa"/>
                  <w:tcBorders>
                    <w:left w:val="nil"/>
                    <w:right w:val="nil"/>
                  </w:tcBorders>
                  <w:vAlign w:val="center"/>
                </w:tcPr>
                <w:p w14:paraId="0426AE6F" w14:textId="77777777" w:rsidR="005E30B8" w:rsidRPr="00A62152" w:rsidRDefault="005E30B8" w:rsidP="00882E02">
                  <w:pPr>
                    <w:spacing w:line="360" w:lineRule="auto"/>
                    <w:contextualSpacing/>
                    <w:jc w:val="center"/>
                    <w:rPr>
                      <w:rFonts w:asciiTheme="majorHAnsi" w:hAnsiTheme="majorHAnsi" w:cs="Times New Roman"/>
                      <w:b/>
                      <w:sz w:val="22"/>
                      <w:szCs w:val="22"/>
                    </w:rPr>
                  </w:pPr>
                  <w:r w:rsidRPr="00A62152">
                    <w:rPr>
                      <w:rFonts w:asciiTheme="majorHAnsi" w:hAnsiTheme="majorHAnsi" w:cs="Times New Roman"/>
                      <w:b/>
                      <w:sz w:val="22"/>
                      <w:szCs w:val="22"/>
                    </w:rPr>
                    <w:t>100,0</w:t>
                  </w:r>
                </w:p>
              </w:tc>
              <w:tc>
                <w:tcPr>
                  <w:tcW w:w="1411" w:type="dxa"/>
                  <w:tcBorders>
                    <w:left w:val="nil"/>
                    <w:right w:val="nil"/>
                  </w:tcBorders>
                  <w:vAlign w:val="center"/>
                </w:tcPr>
                <w:p w14:paraId="5AFE941E" w14:textId="77777777" w:rsidR="005E30B8" w:rsidRPr="00EF3A5D" w:rsidRDefault="005E30B8" w:rsidP="00882E02">
                  <w:pPr>
                    <w:spacing w:line="360" w:lineRule="auto"/>
                    <w:contextualSpacing/>
                    <w:jc w:val="center"/>
                    <w:rPr>
                      <w:rFonts w:asciiTheme="majorHAnsi" w:hAnsiTheme="majorHAnsi" w:cs="Times New Roman"/>
                      <w:b/>
                      <w:sz w:val="22"/>
                      <w:szCs w:val="22"/>
                    </w:rPr>
                  </w:pPr>
                </w:p>
              </w:tc>
            </w:tr>
          </w:tbl>
          <w:p w14:paraId="546193B2" w14:textId="77777777" w:rsidR="005E30B8" w:rsidRPr="00EF3A5D" w:rsidRDefault="005E30B8" w:rsidP="00882E02">
            <w:pPr>
              <w:spacing w:line="360" w:lineRule="auto"/>
              <w:contextualSpacing/>
              <w:jc w:val="center"/>
              <w:rPr>
                <w:rFonts w:asciiTheme="majorHAnsi" w:hAnsiTheme="majorHAnsi" w:cs="Times New Roman"/>
                <w:b/>
                <w:sz w:val="22"/>
                <w:szCs w:val="22"/>
              </w:rPr>
            </w:pPr>
          </w:p>
        </w:tc>
      </w:tr>
    </w:tbl>
    <w:p w14:paraId="4E6EDFB7" w14:textId="77777777" w:rsidR="00026893" w:rsidRDefault="00026893" w:rsidP="005E30B8">
      <w:pPr>
        <w:spacing w:line="360" w:lineRule="auto"/>
        <w:rPr>
          <w:rFonts w:asciiTheme="majorHAnsi" w:hAnsiTheme="majorHAnsi" w:cs="Times New Roman"/>
          <w:b/>
          <w:sz w:val="22"/>
          <w:szCs w:val="22"/>
        </w:rPr>
      </w:pPr>
    </w:p>
    <w:p w14:paraId="0E893BB0" w14:textId="77777777" w:rsidR="00026893" w:rsidRPr="00EF3A5D" w:rsidRDefault="00026893" w:rsidP="005E30B8">
      <w:pPr>
        <w:spacing w:line="360" w:lineRule="auto"/>
        <w:rPr>
          <w:rFonts w:asciiTheme="majorHAnsi" w:hAnsiTheme="majorHAnsi" w:cs="Times New Roman"/>
          <w:b/>
          <w:sz w:val="22"/>
          <w:szCs w:val="22"/>
        </w:rPr>
      </w:pPr>
    </w:p>
    <w:p w14:paraId="41C37800" w14:textId="77777777" w:rsidR="005E30B8" w:rsidRPr="005E0A1D" w:rsidRDefault="005E30B8" w:rsidP="005E0A1D">
      <w:pPr>
        <w:pBdr>
          <w:bottom w:val="single" w:sz="4" w:space="1" w:color="auto"/>
        </w:pBdr>
        <w:spacing w:line="360" w:lineRule="auto"/>
        <w:jc w:val="center"/>
        <w:rPr>
          <w:rFonts w:asciiTheme="majorHAnsi" w:hAnsiTheme="majorHAnsi" w:cs="Times New Roman"/>
          <w:b/>
          <w:sz w:val="22"/>
          <w:szCs w:val="22"/>
        </w:rPr>
      </w:pPr>
      <w:r w:rsidRPr="005E0A1D">
        <w:rPr>
          <w:rFonts w:asciiTheme="majorHAnsi" w:hAnsiTheme="majorHAnsi" w:cs="Times New Roman"/>
          <w:b/>
          <w:sz w:val="22"/>
          <w:szCs w:val="22"/>
        </w:rPr>
        <w:t xml:space="preserve">Πίνακας 1.2 </w:t>
      </w:r>
      <w:r w:rsidRPr="005E0A1D">
        <w:rPr>
          <w:rFonts w:asciiTheme="majorHAnsi" w:hAnsiTheme="majorHAnsi" w:cs="Times New Roman"/>
          <w:b/>
          <w:sz w:val="22"/>
          <w:szCs w:val="22"/>
          <w:lang w:val="el-GR"/>
        </w:rPr>
        <w:t xml:space="preserve">Συχνότητες </w:t>
      </w:r>
      <w:r w:rsidRPr="005E0A1D">
        <w:rPr>
          <w:rFonts w:asciiTheme="majorHAnsi" w:hAnsiTheme="majorHAnsi" w:cs="Times New Roman"/>
          <w:b/>
          <w:sz w:val="22"/>
          <w:szCs w:val="22"/>
        </w:rPr>
        <w:t>μορφωτικού επιπέδου μητέρων</w:t>
      </w:r>
    </w:p>
    <w:tbl>
      <w:tblPr>
        <w:tblStyle w:val="TableGrid"/>
        <w:tblW w:w="8380" w:type="dxa"/>
        <w:tblLook w:val="04A0" w:firstRow="1" w:lastRow="0" w:firstColumn="1" w:lastColumn="0" w:noHBand="0" w:noVBand="1"/>
      </w:tblPr>
      <w:tblGrid>
        <w:gridCol w:w="935"/>
        <w:gridCol w:w="1988"/>
        <w:gridCol w:w="1434"/>
        <w:gridCol w:w="1170"/>
        <w:gridCol w:w="1470"/>
        <w:gridCol w:w="1383"/>
      </w:tblGrid>
      <w:tr w:rsidR="005E30B8" w:rsidRPr="00EF3A5D" w14:paraId="4E78B54C" w14:textId="77777777" w:rsidTr="00AD5CAB">
        <w:trPr>
          <w:trHeight w:val="268"/>
        </w:trPr>
        <w:tc>
          <w:tcPr>
            <w:tcW w:w="8380" w:type="dxa"/>
            <w:gridSpan w:val="6"/>
            <w:tcBorders>
              <w:top w:val="nil"/>
              <w:left w:val="nil"/>
              <w:bottom w:val="nil"/>
              <w:right w:val="nil"/>
            </w:tcBorders>
          </w:tcPr>
          <w:p w14:paraId="02DF6029" w14:textId="77777777" w:rsidR="005E30B8" w:rsidRPr="00EF3A5D" w:rsidRDefault="005E30B8" w:rsidP="00851DDF">
            <w:pPr>
              <w:spacing w:line="360" w:lineRule="auto"/>
              <w:contextualSpacing/>
              <w:rPr>
                <w:rFonts w:asciiTheme="majorHAnsi" w:hAnsiTheme="majorHAnsi" w:cs="Times New Roman"/>
                <w:b/>
                <w:sz w:val="22"/>
                <w:szCs w:val="22"/>
              </w:rPr>
            </w:pPr>
          </w:p>
        </w:tc>
      </w:tr>
      <w:tr w:rsidR="005E30B8" w:rsidRPr="00EF3A5D" w14:paraId="151F8B90" w14:textId="77777777" w:rsidTr="00AD5CAB">
        <w:trPr>
          <w:trHeight w:val="608"/>
        </w:trPr>
        <w:tc>
          <w:tcPr>
            <w:tcW w:w="935" w:type="dxa"/>
            <w:tcBorders>
              <w:top w:val="nil"/>
              <w:left w:val="nil"/>
              <w:bottom w:val="nil"/>
              <w:right w:val="nil"/>
            </w:tcBorders>
            <w:vAlign w:val="bottom"/>
          </w:tcPr>
          <w:p w14:paraId="07D00B7E" w14:textId="77777777" w:rsidR="005E30B8" w:rsidRPr="00EF3A5D" w:rsidRDefault="005E30B8" w:rsidP="00851DDF">
            <w:pPr>
              <w:spacing w:line="360" w:lineRule="auto"/>
              <w:jc w:val="center"/>
              <w:rPr>
                <w:rFonts w:asciiTheme="majorHAnsi" w:hAnsiTheme="majorHAnsi" w:cs="Times New Roman"/>
                <w:sz w:val="22"/>
                <w:szCs w:val="22"/>
              </w:rPr>
            </w:pPr>
          </w:p>
        </w:tc>
        <w:tc>
          <w:tcPr>
            <w:tcW w:w="6062" w:type="dxa"/>
            <w:gridSpan w:val="4"/>
            <w:tcBorders>
              <w:top w:val="nil"/>
              <w:left w:val="nil"/>
              <w:bottom w:val="nil"/>
              <w:right w:val="nil"/>
            </w:tcBorders>
          </w:tcPr>
          <w:p w14:paraId="535593F3" w14:textId="77777777" w:rsidR="005E30B8" w:rsidRPr="00EF3A5D" w:rsidRDefault="005E30B8" w:rsidP="005E0A1D">
            <w:pPr>
              <w:spacing w:line="360" w:lineRule="auto"/>
              <w:contextualSpacing/>
              <w:rPr>
                <w:rFonts w:asciiTheme="majorHAnsi" w:hAnsiTheme="majorHAnsi" w:cs="Times New Roman"/>
                <w:sz w:val="22"/>
                <w:szCs w:val="22"/>
              </w:rPr>
            </w:pPr>
          </w:p>
        </w:tc>
        <w:tc>
          <w:tcPr>
            <w:tcW w:w="1383" w:type="dxa"/>
            <w:tcBorders>
              <w:top w:val="nil"/>
              <w:left w:val="nil"/>
              <w:bottom w:val="nil"/>
              <w:right w:val="nil"/>
            </w:tcBorders>
            <w:vAlign w:val="bottom"/>
          </w:tcPr>
          <w:p w14:paraId="1519AD71" w14:textId="77777777" w:rsidR="005E30B8" w:rsidRPr="00EF3A5D" w:rsidRDefault="005E30B8" w:rsidP="00AD5CAB">
            <w:pPr>
              <w:spacing w:line="360" w:lineRule="auto"/>
              <w:rPr>
                <w:rFonts w:asciiTheme="majorHAnsi" w:hAnsiTheme="majorHAnsi" w:cs="Times New Roman"/>
                <w:sz w:val="22"/>
                <w:szCs w:val="22"/>
              </w:rPr>
            </w:pPr>
          </w:p>
        </w:tc>
      </w:tr>
      <w:tr w:rsidR="005E30B8" w:rsidRPr="00EF3A5D" w14:paraId="74E23D43" w14:textId="77777777" w:rsidTr="00AD5CAB">
        <w:trPr>
          <w:trHeight w:val="728"/>
        </w:trPr>
        <w:tc>
          <w:tcPr>
            <w:tcW w:w="935" w:type="dxa"/>
            <w:tcBorders>
              <w:top w:val="nil"/>
              <w:left w:val="nil"/>
              <w:bottom w:val="single" w:sz="4" w:space="0" w:color="auto"/>
              <w:right w:val="nil"/>
            </w:tcBorders>
            <w:vAlign w:val="bottom"/>
          </w:tcPr>
          <w:p w14:paraId="7639E009" w14:textId="77777777" w:rsidR="005E30B8" w:rsidRPr="00EF3A5D" w:rsidRDefault="005E30B8" w:rsidP="00851DDF">
            <w:pPr>
              <w:spacing w:line="360" w:lineRule="auto"/>
              <w:jc w:val="center"/>
              <w:rPr>
                <w:rFonts w:asciiTheme="majorHAnsi" w:hAnsiTheme="majorHAnsi" w:cs="Times New Roman"/>
                <w:sz w:val="22"/>
                <w:szCs w:val="22"/>
              </w:rPr>
            </w:pPr>
          </w:p>
        </w:tc>
        <w:tc>
          <w:tcPr>
            <w:tcW w:w="1988" w:type="dxa"/>
            <w:tcBorders>
              <w:top w:val="nil"/>
              <w:left w:val="nil"/>
              <w:bottom w:val="single" w:sz="4" w:space="0" w:color="auto"/>
              <w:right w:val="nil"/>
            </w:tcBorders>
          </w:tcPr>
          <w:p w14:paraId="2554B979" w14:textId="77777777" w:rsidR="005E30B8" w:rsidRPr="00EF3A5D" w:rsidRDefault="005E30B8" w:rsidP="00851DDF">
            <w:pPr>
              <w:spacing w:line="360" w:lineRule="auto"/>
              <w:contextualSpacing/>
              <w:rPr>
                <w:rFonts w:asciiTheme="majorHAnsi" w:hAnsiTheme="majorHAnsi" w:cs="Times New Roman"/>
                <w:sz w:val="22"/>
                <w:szCs w:val="22"/>
              </w:rPr>
            </w:pPr>
          </w:p>
        </w:tc>
        <w:tc>
          <w:tcPr>
            <w:tcW w:w="1434" w:type="dxa"/>
            <w:tcBorders>
              <w:top w:val="nil"/>
              <w:left w:val="nil"/>
              <w:bottom w:val="single" w:sz="4" w:space="0" w:color="auto"/>
              <w:right w:val="nil"/>
            </w:tcBorders>
            <w:vAlign w:val="bottom"/>
          </w:tcPr>
          <w:p w14:paraId="3E5C28B4" w14:textId="77777777" w:rsidR="005E30B8" w:rsidRPr="00AD5CAB" w:rsidRDefault="00AD5CAB" w:rsidP="00851DDF">
            <w:pPr>
              <w:spacing w:line="360" w:lineRule="auto"/>
              <w:contextualSpacing/>
              <w:jc w:val="center"/>
              <w:rPr>
                <w:rFonts w:asciiTheme="majorHAnsi" w:hAnsiTheme="majorHAnsi" w:cs="Times New Roman"/>
                <w:b/>
                <w:sz w:val="22"/>
                <w:szCs w:val="22"/>
              </w:rPr>
            </w:pPr>
            <w:r w:rsidRPr="00AD5CAB">
              <w:rPr>
                <w:rFonts w:asciiTheme="majorHAnsi" w:hAnsiTheme="majorHAnsi" w:cs="Times New Roman"/>
                <w:b/>
                <w:sz w:val="22"/>
                <w:szCs w:val="22"/>
              </w:rPr>
              <w:t>Συχνότητα</w:t>
            </w:r>
          </w:p>
        </w:tc>
        <w:tc>
          <w:tcPr>
            <w:tcW w:w="1170" w:type="dxa"/>
            <w:tcBorders>
              <w:top w:val="nil"/>
              <w:left w:val="nil"/>
              <w:bottom w:val="single" w:sz="4" w:space="0" w:color="auto"/>
              <w:right w:val="nil"/>
            </w:tcBorders>
            <w:vAlign w:val="bottom"/>
          </w:tcPr>
          <w:p w14:paraId="709261BF" w14:textId="77777777" w:rsidR="005E30B8" w:rsidRPr="00AD5CAB" w:rsidRDefault="00AD5CAB" w:rsidP="00851DDF">
            <w:pPr>
              <w:spacing w:line="360" w:lineRule="auto"/>
              <w:jc w:val="center"/>
              <w:rPr>
                <w:rFonts w:asciiTheme="majorHAnsi" w:hAnsiTheme="majorHAnsi" w:cs="Times New Roman"/>
                <w:b/>
                <w:sz w:val="22"/>
                <w:szCs w:val="22"/>
              </w:rPr>
            </w:pPr>
            <w:r w:rsidRPr="00AD5CAB">
              <w:rPr>
                <w:rFonts w:asciiTheme="majorHAnsi" w:hAnsiTheme="majorHAnsi" w:cs="Times New Roman"/>
                <w:b/>
                <w:sz w:val="22"/>
                <w:szCs w:val="22"/>
              </w:rPr>
              <w:t>Ποσοστό</w:t>
            </w:r>
            <w:r w:rsidR="00F5140F">
              <w:rPr>
                <w:rFonts w:asciiTheme="majorHAnsi" w:hAnsiTheme="majorHAnsi" w:cs="Times New Roman"/>
                <w:b/>
                <w:sz w:val="22"/>
                <w:szCs w:val="22"/>
              </w:rPr>
              <w:t xml:space="preserve"> %</w:t>
            </w:r>
          </w:p>
        </w:tc>
        <w:tc>
          <w:tcPr>
            <w:tcW w:w="1470" w:type="dxa"/>
            <w:tcBorders>
              <w:top w:val="nil"/>
              <w:left w:val="nil"/>
              <w:bottom w:val="single" w:sz="4" w:space="0" w:color="auto"/>
              <w:right w:val="nil"/>
            </w:tcBorders>
            <w:vAlign w:val="bottom"/>
          </w:tcPr>
          <w:p w14:paraId="3ABCCCDB" w14:textId="77777777" w:rsidR="005E30B8" w:rsidRPr="00AD5CAB" w:rsidRDefault="00AD5CAB" w:rsidP="00851DDF">
            <w:pPr>
              <w:spacing w:line="360" w:lineRule="auto"/>
              <w:jc w:val="center"/>
              <w:rPr>
                <w:rFonts w:asciiTheme="majorHAnsi" w:hAnsiTheme="majorHAnsi" w:cs="Times New Roman"/>
                <w:b/>
                <w:sz w:val="22"/>
                <w:szCs w:val="22"/>
              </w:rPr>
            </w:pPr>
            <w:r w:rsidRPr="00AD5CAB">
              <w:rPr>
                <w:rFonts w:asciiTheme="majorHAnsi" w:hAnsiTheme="majorHAnsi" w:cs="Times New Roman"/>
                <w:b/>
                <w:sz w:val="22"/>
                <w:szCs w:val="22"/>
              </w:rPr>
              <w:t>Έγκυρο Ποσοστό</w:t>
            </w:r>
            <w:r w:rsidR="001B376F">
              <w:rPr>
                <w:rFonts w:asciiTheme="majorHAnsi" w:hAnsiTheme="majorHAnsi" w:cs="Times New Roman"/>
                <w:b/>
                <w:sz w:val="22"/>
                <w:szCs w:val="22"/>
              </w:rPr>
              <w:t xml:space="preserve"> </w:t>
            </w:r>
          </w:p>
        </w:tc>
        <w:tc>
          <w:tcPr>
            <w:tcW w:w="1383" w:type="dxa"/>
            <w:tcBorders>
              <w:top w:val="nil"/>
              <w:left w:val="nil"/>
              <w:bottom w:val="single" w:sz="4" w:space="0" w:color="auto"/>
              <w:right w:val="nil"/>
            </w:tcBorders>
            <w:vAlign w:val="bottom"/>
          </w:tcPr>
          <w:p w14:paraId="780BB9C2" w14:textId="77777777" w:rsidR="005E30B8" w:rsidRPr="00AD5CAB" w:rsidRDefault="00AD5CAB" w:rsidP="00851DDF">
            <w:pPr>
              <w:spacing w:line="360" w:lineRule="auto"/>
              <w:jc w:val="center"/>
              <w:rPr>
                <w:rFonts w:asciiTheme="majorHAnsi" w:hAnsiTheme="majorHAnsi" w:cs="Times New Roman"/>
                <w:b/>
                <w:sz w:val="22"/>
                <w:szCs w:val="22"/>
              </w:rPr>
            </w:pPr>
            <w:r w:rsidRPr="00AD5CAB">
              <w:rPr>
                <w:rFonts w:asciiTheme="majorHAnsi" w:hAnsiTheme="majorHAnsi" w:cs="Times New Roman"/>
                <w:b/>
                <w:sz w:val="22"/>
                <w:szCs w:val="22"/>
              </w:rPr>
              <w:t>Αθροιστικό Ποσοστό</w:t>
            </w:r>
          </w:p>
        </w:tc>
      </w:tr>
      <w:tr w:rsidR="005E30B8" w:rsidRPr="00EF3A5D" w14:paraId="00821F47" w14:textId="77777777" w:rsidTr="00AD5CAB">
        <w:trPr>
          <w:trHeight w:val="803"/>
        </w:trPr>
        <w:tc>
          <w:tcPr>
            <w:tcW w:w="935" w:type="dxa"/>
            <w:tcBorders>
              <w:top w:val="single" w:sz="4" w:space="0" w:color="auto"/>
              <w:left w:val="nil"/>
              <w:bottom w:val="nil"/>
              <w:right w:val="nil"/>
            </w:tcBorders>
          </w:tcPr>
          <w:p w14:paraId="265521DC" w14:textId="77777777" w:rsidR="005E30B8" w:rsidRPr="00EF3A5D" w:rsidRDefault="005E30B8" w:rsidP="00851DDF">
            <w:pPr>
              <w:spacing w:line="360" w:lineRule="auto"/>
              <w:rPr>
                <w:rFonts w:asciiTheme="majorHAnsi" w:hAnsiTheme="majorHAnsi" w:cs="Times New Roman"/>
                <w:b/>
                <w:sz w:val="22"/>
                <w:szCs w:val="22"/>
              </w:rPr>
            </w:pPr>
          </w:p>
        </w:tc>
        <w:tc>
          <w:tcPr>
            <w:tcW w:w="1988" w:type="dxa"/>
            <w:tcBorders>
              <w:left w:val="nil"/>
              <w:bottom w:val="nil"/>
              <w:right w:val="nil"/>
            </w:tcBorders>
          </w:tcPr>
          <w:p w14:paraId="2B00CBC4" w14:textId="77777777" w:rsidR="005E30B8" w:rsidRPr="00EF3A5D" w:rsidRDefault="005E30B8" w:rsidP="00851DDF">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Κάτοχος μεταπτυχιακού ή διδακτορικού</w:t>
            </w:r>
          </w:p>
        </w:tc>
        <w:tc>
          <w:tcPr>
            <w:tcW w:w="1434" w:type="dxa"/>
            <w:tcBorders>
              <w:left w:val="nil"/>
              <w:bottom w:val="nil"/>
              <w:right w:val="nil"/>
            </w:tcBorders>
          </w:tcPr>
          <w:p w14:paraId="5895E5AF" w14:textId="77777777" w:rsidR="005E30B8" w:rsidRPr="00EF3A5D" w:rsidRDefault="005E30B8" w:rsidP="00851DDF">
            <w:pPr>
              <w:spacing w:line="360" w:lineRule="auto"/>
              <w:contextualSpacing/>
              <w:jc w:val="center"/>
              <w:rPr>
                <w:rFonts w:asciiTheme="majorHAnsi" w:hAnsiTheme="majorHAnsi" w:cs="Times New Roman"/>
                <w:sz w:val="22"/>
                <w:szCs w:val="22"/>
              </w:rPr>
            </w:pPr>
            <w:r w:rsidRPr="00EF3A5D">
              <w:rPr>
                <w:rFonts w:asciiTheme="majorHAnsi" w:hAnsiTheme="majorHAnsi" w:cs="Times New Roman"/>
                <w:sz w:val="22"/>
                <w:szCs w:val="22"/>
              </w:rPr>
              <w:t>5</w:t>
            </w:r>
          </w:p>
        </w:tc>
        <w:tc>
          <w:tcPr>
            <w:tcW w:w="1170" w:type="dxa"/>
            <w:tcBorders>
              <w:left w:val="nil"/>
              <w:bottom w:val="nil"/>
              <w:right w:val="nil"/>
            </w:tcBorders>
          </w:tcPr>
          <w:p w14:paraId="09994F5B"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22,7</w:t>
            </w:r>
          </w:p>
        </w:tc>
        <w:tc>
          <w:tcPr>
            <w:tcW w:w="1470" w:type="dxa"/>
            <w:tcBorders>
              <w:left w:val="nil"/>
              <w:bottom w:val="nil"/>
              <w:right w:val="nil"/>
            </w:tcBorders>
          </w:tcPr>
          <w:p w14:paraId="5986154C"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22,7</w:t>
            </w:r>
          </w:p>
        </w:tc>
        <w:tc>
          <w:tcPr>
            <w:tcW w:w="1383" w:type="dxa"/>
            <w:tcBorders>
              <w:top w:val="single" w:sz="4" w:space="0" w:color="auto"/>
              <w:left w:val="nil"/>
              <w:bottom w:val="nil"/>
              <w:right w:val="nil"/>
            </w:tcBorders>
          </w:tcPr>
          <w:p w14:paraId="07EBEA24"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22,7</w:t>
            </w:r>
          </w:p>
        </w:tc>
      </w:tr>
      <w:tr w:rsidR="005E30B8" w:rsidRPr="00EF3A5D" w14:paraId="096B85CA" w14:textId="77777777" w:rsidTr="00AD5CAB">
        <w:trPr>
          <w:trHeight w:val="268"/>
        </w:trPr>
        <w:tc>
          <w:tcPr>
            <w:tcW w:w="935" w:type="dxa"/>
            <w:tcBorders>
              <w:top w:val="nil"/>
              <w:left w:val="nil"/>
              <w:bottom w:val="nil"/>
              <w:right w:val="nil"/>
            </w:tcBorders>
          </w:tcPr>
          <w:p w14:paraId="1AF6A31D" w14:textId="77777777" w:rsidR="005E30B8" w:rsidRPr="00EF3A5D" w:rsidRDefault="005E30B8" w:rsidP="00851DDF">
            <w:pPr>
              <w:spacing w:line="360" w:lineRule="auto"/>
              <w:rPr>
                <w:rFonts w:asciiTheme="majorHAnsi" w:hAnsiTheme="majorHAnsi" w:cs="Times New Roman"/>
                <w:b/>
                <w:sz w:val="22"/>
                <w:szCs w:val="22"/>
              </w:rPr>
            </w:pPr>
          </w:p>
        </w:tc>
        <w:tc>
          <w:tcPr>
            <w:tcW w:w="1988" w:type="dxa"/>
            <w:tcBorders>
              <w:top w:val="nil"/>
              <w:left w:val="nil"/>
              <w:bottom w:val="nil"/>
              <w:right w:val="nil"/>
            </w:tcBorders>
          </w:tcPr>
          <w:p w14:paraId="02DC4B7C"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Πτυχιούχα Α.Ε.Ι</w:t>
            </w:r>
          </w:p>
        </w:tc>
        <w:tc>
          <w:tcPr>
            <w:tcW w:w="1434" w:type="dxa"/>
            <w:tcBorders>
              <w:top w:val="nil"/>
              <w:left w:val="nil"/>
              <w:bottom w:val="nil"/>
              <w:right w:val="nil"/>
            </w:tcBorders>
          </w:tcPr>
          <w:p w14:paraId="584878A6"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6</w:t>
            </w:r>
          </w:p>
        </w:tc>
        <w:tc>
          <w:tcPr>
            <w:tcW w:w="1170" w:type="dxa"/>
            <w:tcBorders>
              <w:top w:val="nil"/>
              <w:left w:val="nil"/>
              <w:bottom w:val="nil"/>
              <w:right w:val="nil"/>
            </w:tcBorders>
          </w:tcPr>
          <w:p w14:paraId="6F495B06"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27,3</w:t>
            </w:r>
          </w:p>
        </w:tc>
        <w:tc>
          <w:tcPr>
            <w:tcW w:w="1470" w:type="dxa"/>
            <w:tcBorders>
              <w:top w:val="nil"/>
              <w:left w:val="nil"/>
              <w:bottom w:val="nil"/>
              <w:right w:val="nil"/>
            </w:tcBorders>
          </w:tcPr>
          <w:p w14:paraId="6C35DEC0"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27,3</w:t>
            </w:r>
          </w:p>
        </w:tc>
        <w:tc>
          <w:tcPr>
            <w:tcW w:w="1383" w:type="dxa"/>
            <w:tcBorders>
              <w:top w:val="nil"/>
              <w:left w:val="nil"/>
              <w:bottom w:val="nil"/>
              <w:right w:val="nil"/>
            </w:tcBorders>
          </w:tcPr>
          <w:p w14:paraId="69AF6967"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50,0</w:t>
            </w:r>
          </w:p>
        </w:tc>
      </w:tr>
      <w:tr w:rsidR="005E30B8" w:rsidRPr="00EF3A5D" w14:paraId="6E2E5BD2" w14:textId="77777777" w:rsidTr="00AD5CAB">
        <w:trPr>
          <w:trHeight w:val="535"/>
        </w:trPr>
        <w:tc>
          <w:tcPr>
            <w:tcW w:w="935" w:type="dxa"/>
            <w:tcBorders>
              <w:top w:val="nil"/>
              <w:left w:val="nil"/>
              <w:bottom w:val="nil"/>
              <w:right w:val="nil"/>
            </w:tcBorders>
          </w:tcPr>
          <w:p w14:paraId="7CF84309" w14:textId="77777777" w:rsidR="005E30B8" w:rsidRPr="00EF3A5D" w:rsidRDefault="005E30B8" w:rsidP="00851DDF">
            <w:pPr>
              <w:spacing w:line="360" w:lineRule="auto"/>
              <w:rPr>
                <w:rFonts w:asciiTheme="majorHAnsi" w:hAnsiTheme="majorHAnsi" w:cs="Times New Roman"/>
                <w:b/>
                <w:sz w:val="22"/>
                <w:szCs w:val="22"/>
              </w:rPr>
            </w:pPr>
          </w:p>
        </w:tc>
        <w:tc>
          <w:tcPr>
            <w:tcW w:w="1988" w:type="dxa"/>
            <w:tcBorders>
              <w:top w:val="nil"/>
              <w:left w:val="nil"/>
              <w:bottom w:val="nil"/>
              <w:right w:val="nil"/>
            </w:tcBorders>
          </w:tcPr>
          <w:p w14:paraId="5B30BA5C"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Πτυχιούχα Ανώτερης Σχολής</w:t>
            </w:r>
          </w:p>
        </w:tc>
        <w:tc>
          <w:tcPr>
            <w:tcW w:w="1434" w:type="dxa"/>
            <w:tcBorders>
              <w:top w:val="nil"/>
              <w:left w:val="nil"/>
              <w:bottom w:val="nil"/>
              <w:right w:val="nil"/>
            </w:tcBorders>
          </w:tcPr>
          <w:p w14:paraId="776A52A1"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3</w:t>
            </w:r>
          </w:p>
        </w:tc>
        <w:tc>
          <w:tcPr>
            <w:tcW w:w="1170" w:type="dxa"/>
            <w:tcBorders>
              <w:top w:val="nil"/>
              <w:left w:val="nil"/>
              <w:bottom w:val="nil"/>
              <w:right w:val="nil"/>
            </w:tcBorders>
          </w:tcPr>
          <w:p w14:paraId="44F0EA51"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13,6</w:t>
            </w:r>
          </w:p>
        </w:tc>
        <w:tc>
          <w:tcPr>
            <w:tcW w:w="1470" w:type="dxa"/>
            <w:tcBorders>
              <w:top w:val="nil"/>
              <w:left w:val="nil"/>
              <w:bottom w:val="nil"/>
              <w:right w:val="nil"/>
            </w:tcBorders>
          </w:tcPr>
          <w:p w14:paraId="6959FAC4"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13,6</w:t>
            </w:r>
          </w:p>
        </w:tc>
        <w:tc>
          <w:tcPr>
            <w:tcW w:w="1383" w:type="dxa"/>
            <w:tcBorders>
              <w:top w:val="nil"/>
              <w:left w:val="nil"/>
              <w:bottom w:val="nil"/>
              <w:right w:val="nil"/>
            </w:tcBorders>
          </w:tcPr>
          <w:p w14:paraId="3BF62D23"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63,6</w:t>
            </w:r>
          </w:p>
        </w:tc>
      </w:tr>
      <w:tr w:rsidR="005E30B8" w:rsidRPr="00EF3A5D" w14:paraId="36086C5B" w14:textId="77777777" w:rsidTr="00AD5CAB">
        <w:trPr>
          <w:trHeight w:val="535"/>
        </w:trPr>
        <w:tc>
          <w:tcPr>
            <w:tcW w:w="935" w:type="dxa"/>
            <w:tcBorders>
              <w:top w:val="nil"/>
              <w:left w:val="nil"/>
              <w:bottom w:val="nil"/>
              <w:right w:val="nil"/>
            </w:tcBorders>
          </w:tcPr>
          <w:p w14:paraId="03858BC4" w14:textId="77777777" w:rsidR="005E30B8" w:rsidRPr="00EF3A5D" w:rsidRDefault="005E30B8" w:rsidP="00851DDF">
            <w:pPr>
              <w:spacing w:line="360" w:lineRule="auto"/>
              <w:rPr>
                <w:rFonts w:asciiTheme="majorHAnsi" w:hAnsiTheme="majorHAnsi" w:cs="Times New Roman"/>
                <w:b/>
                <w:sz w:val="22"/>
                <w:szCs w:val="22"/>
              </w:rPr>
            </w:pPr>
          </w:p>
        </w:tc>
        <w:tc>
          <w:tcPr>
            <w:tcW w:w="1988" w:type="dxa"/>
            <w:tcBorders>
              <w:top w:val="nil"/>
              <w:left w:val="nil"/>
              <w:bottom w:val="nil"/>
              <w:right w:val="nil"/>
            </w:tcBorders>
          </w:tcPr>
          <w:p w14:paraId="354F9713"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Απόφοιτη Λυκείου</w:t>
            </w:r>
          </w:p>
        </w:tc>
        <w:tc>
          <w:tcPr>
            <w:tcW w:w="1434" w:type="dxa"/>
            <w:tcBorders>
              <w:top w:val="nil"/>
              <w:left w:val="nil"/>
              <w:bottom w:val="nil"/>
              <w:right w:val="nil"/>
            </w:tcBorders>
          </w:tcPr>
          <w:p w14:paraId="49638892"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5</w:t>
            </w:r>
          </w:p>
        </w:tc>
        <w:tc>
          <w:tcPr>
            <w:tcW w:w="1170" w:type="dxa"/>
            <w:tcBorders>
              <w:top w:val="nil"/>
              <w:left w:val="nil"/>
              <w:bottom w:val="nil"/>
              <w:right w:val="nil"/>
            </w:tcBorders>
          </w:tcPr>
          <w:p w14:paraId="0A7B2C9F"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22,7</w:t>
            </w:r>
          </w:p>
        </w:tc>
        <w:tc>
          <w:tcPr>
            <w:tcW w:w="1470" w:type="dxa"/>
            <w:tcBorders>
              <w:top w:val="nil"/>
              <w:left w:val="nil"/>
              <w:bottom w:val="nil"/>
              <w:right w:val="nil"/>
            </w:tcBorders>
          </w:tcPr>
          <w:p w14:paraId="326B9299"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22,7</w:t>
            </w:r>
          </w:p>
        </w:tc>
        <w:tc>
          <w:tcPr>
            <w:tcW w:w="1383" w:type="dxa"/>
            <w:tcBorders>
              <w:top w:val="nil"/>
              <w:left w:val="nil"/>
              <w:bottom w:val="nil"/>
              <w:right w:val="nil"/>
            </w:tcBorders>
          </w:tcPr>
          <w:p w14:paraId="63E3D251"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86,4</w:t>
            </w:r>
          </w:p>
        </w:tc>
      </w:tr>
      <w:tr w:rsidR="005E30B8" w:rsidRPr="00EF3A5D" w14:paraId="7FEB5EEB" w14:textId="77777777" w:rsidTr="00AD5CAB">
        <w:trPr>
          <w:trHeight w:val="550"/>
        </w:trPr>
        <w:tc>
          <w:tcPr>
            <w:tcW w:w="935" w:type="dxa"/>
            <w:tcBorders>
              <w:top w:val="nil"/>
              <w:left w:val="nil"/>
              <w:bottom w:val="nil"/>
              <w:right w:val="nil"/>
            </w:tcBorders>
          </w:tcPr>
          <w:p w14:paraId="7C31AD5B" w14:textId="77777777" w:rsidR="005E30B8" w:rsidRPr="00EF3A5D" w:rsidRDefault="005E30B8" w:rsidP="00851DDF">
            <w:pPr>
              <w:spacing w:line="360" w:lineRule="auto"/>
              <w:rPr>
                <w:rFonts w:asciiTheme="majorHAnsi" w:hAnsiTheme="majorHAnsi" w:cs="Times New Roman"/>
                <w:b/>
                <w:sz w:val="22"/>
                <w:szCs w:val="22"/>
              </w:rPr>
            </w:pPr>
          </w:p>
        </w:tc>
        <w:tc>
          <w:tcPr>
            <w:tcW w:w="1988" w:type="dxa"/>
            <w:tcBorders>
              <w:top w:val="nil"/>
              <w:left w:val="nil"/>
              <w:right w:val="nil"/>
            </w:tcBorders>
          </w:tcPr>
          <w:p w14:paraId="18D47525"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Απόφοιτη Γυμνασίου</w:t>
            </w:r>
          </w:p>
        </w:tc>
        <w:tc>
          <w:tcPr>
            <w:tcW w:w="1434" w:type="dxa"/>
            <w:tcBorders>
              <w:top w:val="nil"/>
              <w:left w:val="nil"/>
              <w:bottom w:val="single" w:sz="4" w:space="0" w:color="auto"/>
              <w:right w:val="nil"/>
            </w:tcBorders>
          </w:tcPr>
          <w:p w14:paraId="299ED44D"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3</w:t>
            </w:r>
          </w:p>
        </w:tc>
        <w:tc>
          <w:tcPr>
            <w:tcW w:w="1170" w:type="dxa"/>
            <w:tcBorders>
              <w:top w:val="nil"/>
              <w:left w:val="nil"/>
              <w:right w:val="nil"/>
            </w:tcBorders>
          </w:tcPr>
          <w:p w14:paraId="4D4348DE"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13,6</w:t>
            </w:r>
          </w:p>
        </w:tc>
        <w:tc>
          <w:tcPr>
            <w:tcW w:w="1470" w:type="dxa"/>
            <w:tcBorders>
              <w:top w:val="nil"/>
              <w:left w:val="nil"/>
              <w:bottom w:val="single" w:sz="4" w:space="0" w:color="auto"/>
              <w:right w:val="nil"/>
            </w:tcBorders>
          </w:tcPr>
          <w:p w14:paraId="294F3DA6"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13,6</w:t>
            </w:r>
          </w:p>
        </w:tc>
        <w:tc>
          <w:tcPr>
            <w:tcW w:w="1383" w:type="dxa"/>
            <w:tcBorders>
              <w:top w:val="nil"/>
              <w:left w:val="nil"/>
              <w:bottom w:val="single" w:sz="4" w:space="0" w:color="auto"/>
              <w:right w:val="nil"/>
            </w:tcBorders>
          </w:tcPr>
          <w:p w14:paraId="5FFCCA57" w14:textId="77777777" w:rsidR="005E30B8" w:rsidRPr="00EF3A5D" w:rsidRDefault="005E30B8"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100,0</w:t>
            </w:r>
          </w:p>
        </w:tc>
      </w:tr>
      <w:tr w:rsidR="005E30B8" w:rsidRPr="00EF3A5D" w14:paraId="35E79D93" w14:textId="77777777" w:rsidTr="00AD5CAB">
        <w:trPr>
          <w:trHeight w:val="422"/>
        </w:trPr>
        <w:tc>
          <w:tcPr>
            <w:tcW w:w="935" w:type="dxa"/>
            <w:tcBorders>
              <w:top w:val="nil"/>
              <w:left w:val="nil"/>
              <w:right w:val="nil"/>
            </w:tcBorders>
          </w:tcPr>
          <w:p w14:paraId="03A54C1E" w14:textId="77777777" w:rsidR="005E30B8" w:rsidRPr="00EF3A5D" w:rsidRDefault="005E30B8" w:rsidP="00575F33">
            <w:pPr>
              <w:spacing w:beforeLines="240" w:before="576" w:line="360" w:lineRule="auto"/>
              <w:rPr>
                <w:rFonts w:asciiTheme="majorHAnsi" w:hAnsiTheme="majorHAnsi" w:cs="Times New Roman"/>
                <w:b/>
                <w:sz w:val="22"/>
                <w:szCs w:val="22"/>
              </w:rPr>
            </w:pPr>
          </w:p>
        </w:tc>
        <w:tc>
          <w:tcPr>
            <w:tcW w:w="1988" w:type="dxa"/>
            <w:tcBorders>
              <w:left w:val="nil"/>
              <w:right w:val="nil"/>
            </w:tcBorders>
          </w:tcPr>
          <w:p w14:paraId="7765E05B" w14:textId="77777777" w:rsidR="005E30B8" w:rsidRPr="00AD5CAB" w:rsidRDefault="00AD5CAB" w:rsidP="00575F33">
            <w:pPr>
              <w:spacing w:beforeLines="240" w:before="576" w:line="360" w:lineRule="auto"/>
              <w:jc w:val="center"/>
              <w:rPr>
                <w:rFonts w:asciiTheme="majorHAnsi" w:hAnsiTheme="majorHAnsi" w:cs="Times New Roman"/>
                <w:b/>
                <w:sz w:val="22"/>
                <w:szCs w:val="22"/>
              </w:rPr>
            </w:pPr>
            <w:r w:rsidRPr="00AD5CAB">
              <w:rPr>
                <w:rFonts w:asciiTheme="majorHAnsi" w:hAnsiTheme="majorHAnsi" w:cs="Times New Roman"/>
                <w:b/>
                <w:sz w:val="22"/>
                <w:szCs w:val="22"/>
              </w:rPr>
              <w:t>Σύνολο</w:t>
            </w:r>
          </w:p>
        </w:tc>
        <w:tc>
          <w:tcPr>
            <w:tcW w:w="1434" w:type="dxa"/>
            <w:tcBorders>
              <w:left w:val="nil"/>
              <w:bottom w:val="single" w:sz="4" w:space="0" w:color="auto"/>
              <w:right w:val="nil"/>
            </w:tcBorders>
          </w:tcPr>
          <w:p w14:paraId="1A5CEB83" w14:textId="77777777" w:rsidR="005E30B8" w:rsidRPr="00AD5CAB" w:rsidRDefault="005E30B8" w:rsidP="00575F33">
            <w:pPr>
              <w:spacing w:beforeLines="240" w:before="576" w:line="360" w:lineRule="auto"/>
              <w:jc w:val="center"/>
              <w:rPr>
                <w:rFonts w:asciiTheme="majorHAnsi" w:hAnsiTheme="majorHAnsi" w:cs="Times New Roman"/>
                <w:b/>
                <w:sz w:val="22"/>
                <w:szCs w:val="22"/>
              </w:rPr>
            </w:pPr>
            <w:r w:rsidRPr="00AD5CAB">
              <w:rPr>
                <w:rFonts w:asciiTheme="majorHAnsi" w:hAnsiTheme="majorHAnsi" w:cs="Times New Roman"/>
                <w:b/>
                <w:sz w:val="22"/>
                <w:szCs w:val="22"/>
              </w:rPr>
              <w:t>22</w:t>
            </w:r>
          </w:p>
        </w:tc>
        <w:tc>
          <w:tcPr>
            <w:tcW w:w="1170" w:type="dxa"/>
            <w:tcBorders>
              <w:left w:val="nil"/>
              <w:right w:val="nil"/>
            </w:tcBorders>
          </w:tcPr>
          <w:p w14:paraId="79C3BC28" w14:textId="77777777" w:rsidR="005E30B8" w:rsidRPr="00AD5CAB" w:rsidRDefault="005E30B8" w:rsidP="00575F33">
            <w:pPr>
              <w:spacing w:beforeLines="240" w:before="576" w:line="360" w:lineRule="auto"/>
              <w:jc w:val="center"/>
              <w:rPr>
                <w:rFonts w:asciiTheme="majorHAnsi" w:hAnsiTheme="majorHAnsi" w:cs="Times New Roman"/>
                <w:b/>
                <w:sz w:val="22"/>
                <w:szCs w:val="22"/>
              </w:rPr>
            </w:pPr>
            <w:r w:rsidRPr="00AD5CAB">
              <w:rPr>
                <w:rFonts w:asciiTheme="majorHAnsi" w:hAnsiTheme="majorHAnsi" w:cs="Times New Roman"/>
                <w:b/>
                <w:sz w:val="22"/>
                <w:szCs w:val="22"/>
              </w:rPr>
              <w:t>100,0</w:t>
            </w:r>
          </w:p>
        </w:tc>
        <w:tc>
          <w:tcPr>
            <w:tcW w:w="1470" w:type="dxa"/>
            <w:tcBorders>
              <w:left w:val="nil"/>
              <w:right w:val="nil"/>
            </w:tcBorders>
          </w:tcPr>
          <w:p w14:paraId="651633E1" w14:textId="77777777" w:rsidR="005E30B8" w:rsidRPr="00AD5CAB" w:rsidRDefault="005E30B8" w:rsidP="00575F33">
            <w:pPr>
              <w:spacing w:beforeLines="240" w:before="576" w:line="360" w:lineRule="auto"/>
              <w:jc w:val="center"/>
              <w:rPr>
                <w:rFonts w:asciiTheme="majorHAnsi" w:hAnsiTheme="majorHAnsi" w:cs="Times New Roman"/>
                <w:b/>
                <w:sz w:val="22"/>
                <w:szCs w:val="22"/>
              </w:rPr>
            </w:pPr>
            <w:r w:rsidRPr="00AD5CAB">
              <w:rPr>
                <w:rFonts w:asciiTheme="majorHAnsi" w:hAnsiTheme="majorHAnsi" w:cs="Times New Roman"/>
                <w:b/>
                <w:sz w:val="22"/>
                <w:szCs w:val="22"/>
              </w:rPr>
              <w:t>100,0</w:t>
            </w:r>
          </w:p>
        </w:tc>
        <w:tc>
          <w:tcPr>
            <w:tcW w:w="1383" w:type="dxa"/>
            <w:tcBorders>
              <w:left w:val="nil"/>
              <w:right w:val="nil"/>
            </w:tcBorders>
          </w:tcPr>
          <w:p w14:paraId="1FD12791" w14:textId="77777777" w:rsidR="005E30B8" w:rsidRPr="00EF3A5D" w:rsidRDefault="005E30B8" w:rsidP="00575F33">
            <w:pPr>
              <w:spacing w:beforeLines="240" w:before="576" w:line="360" w:lineRule="auto"/>
              <w:rPr>
                <w:rFonts w:asciiTheme="majorHAnsi" w:hAnsiTheme="majorHAnsi" w:cs="Times New Roman"/>
                <w:b/>
                <w:sz w:val="22"/>
                <w:szCs w:val="22"/>
              </w:rPr>
            </w:pPr>
          </w:p>
        </w:tc>
      </w:tr>
    </w:tbl>
    <w:p w14:paraId="1194D736" w14:textId="77777777" w:rsidR="005E30B8" w:rsidRPr="00D83AE1" w:rsidRDefault="005E30B8" w:rsidP="00575F33">
      <w:pPr>
        <w:pStyle w:val="NormalWeb"/>
        <w:spacing w:beforeLines="240" w:before="576" w:beforeAutospacing="0"/>
        <w:jc w:val="both"/>
        <w:rPr>
          <w:rFonts w:asciiTheme="majorHAnsi" w:hAnsiTheme="majorHAnsi"/>
          <w:sz w:val="22"/>
          <w:szCs w:val="22"/>
          <w:lang w:val="el-GR"/>
        </w:rPr>
      </w:pPr>
    </w:p>
    <w:p w14:paraId="43D718AF" w14:textId="77777777" w:rsidR="00500AD4" w:rsidRDefault="00363168" w:rsidP="00500AD4">
      <w:pPr>
        <w:rPr>
          <w:rFonts w:eastAsia="Times New Roman"/>
        </w:rPr>
      </w:pPr>
      <w:r w:rsidRPr="000B4A53">
        <w:rPr>
          <w:b/>
          <w:sz w:val="22"/>
          <w:szCs w:val="22"/>
        </w:rPr>
        <w:t>Διαφοροποίηση Οικονομικού Επιπέδου</w:t>
      </w:r>
      <w:r w:rsidR="00500AD4" w:rsidRPr="00500AD4">
        <w:rPr>
          <w:rFonts w:eastAsia="Times New Roman"/>
        </w:rPr>
        <w:t xml:space="preserve"> </w:t>
      </w:r>
    </w:p>
    <w:p w14:paraId="3D5017F7" w14:textId="77777777" w:rsidR="00500AD4" w:rsidRDefault="00500AD4" w:rsidP="00500AD4">
      <w:pPr>
        <w:rPr>
          <w:rFonts w:eastAsia="Times New Roman"/>
        </w:rPr>
      </w:pPr>
    </w:p>
    <w:p w14:paraId="1610FF0C" w14:textId="47893FE2" w:rsidR="00363168" w:rsidRPr="00500AD4" w:rsidRDefault="00500AD4" w:rsidP="00500AD4">
      <w:pPr>
        <w:ind w:firstLine="284"/>
        <w:jc w:val="both"/>
        <w:rPr>
          <w:rFonts w:asciiTheme="majorHAnsi" w:eastAsia="Times New Roman" w:hAnsiTheme="majorHAnsi" w:cs="Times New Roman"/>
          <w:sz w:val="22"/>
          <w:szCs w:val="22"/>
        </w:rPr>
      </w:pPr>
      <w:r w:rsidRPr="00500AD4">
        <w:rPr>
          <w:rFonts w:asciiTheme="majorHAnsi" w:eastAsia="Times New Roman" w:hAnsiTheme="majorHAnsi" w:cs="Times New Roman"/>
          <w:sz w:val="22"/>
          <w:szCs w:val="22"/>
        </w:rPr>
        <w:t xml:space="preserve">Η ανάλυση έδειξε στατιστικά σημαντική σχέση μεταξύ οικονομικού επιπέδου και εμπλοκής (p=0,00, r=0,685), με ισχυρή θετική συσχέτιση: </w:t>
      </w:r>
      <w:r w:rsidRPr="00D05EA1">
        <w:rPr>
          <w:rFonts w:asciiTheme="majorHAnsi" w:eastAsia="Times New Roman" w:hAnsiTheme="majorHAnsi" w:cs="Times New Roman"/>
          <w:sz w:val="22"/>
          <w:szCs w:val="22"/>
          <w:highlight w:val="red"/>
        </w:rPr>
        <w:t>υψηλότερο εισόδημα συνδέεται με αυξημένη συμμετοχή</w:t>
      </w:r>
      <w:r w:rsidRPr="00500AD4">
        <w:rPr>
          <w:rFonts w:asciiTheme="majorHAnsi" w:eastAsia="Times New Roman" w:hAnsiTheme="majorHAnsi" w:cs="Times New Roman"/>
          <w:sz w:val="22"/>
          <w:szCs w:val="22"/>
        </w:rPr>
        <w:t xml:space="preserve"> σε δραστηριότητες, όπως εκπαιδευτικές εκδρομές και γονεϊκές συναντήσεις. Αντίθετα, χαμηλό εισόδημα </w:t>
      </w:r>
      <w:r w:rsidRPr="00D05EA1">
        <w:rPr>
          <w:rFonts w:asciiTheme="majorHAnsi" w:eastAsia="Times New Roman" w:hAnsiTheme="majorHAnsi" w:cs="Times New Roman"/>
          <w:sz w:val="22"/>
          <w:szCs w:val="22"/>
          <w:highlight w:val="red"/>
        </w:rPr>
        <w:t>περιορίζει τη συμμετοχή</w:t>
      </w:r>
      <w:r w:rsidRPr="00500AD4">
        <w:rPr>
          <w:rFonts w:asciiTheme="majorHAnsi" w:eastAsia="Times New Roman" w:hAnsiTheme="majorHAnsi" w:cs="Times New Roman"/>
          <w:sz w:val="22"/>
          <w:szCs w:val="22"/>
        </w:rPr>
        <w:t xml:space="preserve"> λόγω επαγγελματικών υποχρεώσεων ή έλλειψης πόρων.</w:t>
      </w:r>
    </w:p>
    <w:p w14:paraId="1EEBF62B" w14:textId="77777777" w:rsidR="00B70C17" w:rsidRPr="0013072B" w:rsidRDefault="00B70C17" w:rsidP="00575F33">
      <w:pPr>
        <w:spacing w:beforeLines="240" w:before="576" w:line="360" w:lineRule="auto"/>
        <w:jc w:val="center"/>
        <w:rPr>
          <w:rFonts w:asciiTheme="majorHAnsi" w:hAnsiTheme="majorHAnsi" w:cs="Times New Roman"/>
          <w:b/>
          <w:sz w:val="22"/>
          <w:szCs w:val="22"/>
          <w:lang w:val="el-GR"/>
        </w:rPr>
      </w:pPr>
      <w:r w:rsidRPr="0013072B">
        <w:rPr>
          <w:rFonts w:asciiTheme="majorHAnsi" w:hAnsiTheme="majorHAnsi" w:cs="Times New Roman"/>
          <w:b/>
          <w:sz w:val="22"/>
          <w:szCs w:val="22"/>
          <w:lang w:val="el-GR"/>
        </w:rPr>
        <w:t>Πίνακας 1.3 Αποτελέσματα διαφοροποίησης οικονομικού επιπέδου ανάλογα με την εμπλοκή-μη εμπλοκή</w:t>
      </w:r>
    </w:p>
    <w:tbl>
      <w:tblPr>
        <w:tblStyle w:val="TableGrid"/>
        <w:tblpPr w:leftFromText="180" w:rightFromText="180" w:vertAnchor="text" w:horzAnchor="page" w:tblpX="1369" w:tblpY="323"/>
        <w:tblW w:w="9606" w:type="dxa"/>
        <w:tblLayout w:type="fixed"/>
        <w:tblLook w:val="04A0" w:firstRow="1" w:lastRow="0" w:firstColumn="1" w:lastColumn="0" w:noHBand="0" w:noVBand="1"/>
      </w:tblPr>
      <w:tblGrid>
        <w:gridCol w:w="1912"/>
        <w:gridCol w:w="2449"/>
        <w:gridCol w:w="2551"/>
        <w:gridCol w:w="1418"/>
        <w:gridCol w:w="1276"/>
      </w:tblGrid>
      <w:tr w:rsidR="00B70C17" w:rsidRPr="00EF3A5D" w14:paraId="52E2F406" w14:textId="77777777" w:rsidTr="0013072B">
        <w:trPr>
          <w:trHeight w:val="290"/>
        </w:trPr>
        <w:tc>
          <w:tcPr>
            <w:tcW w:w="9606" w:type="dxa"/>
            <w:gridSpan w:val="5"/>
            <w:tcBorders>
              <w:top w:val="single" w:sz="4" w:space="0" w:color="auto"/>
              <w:left w:val="nil"/>
              <w:bottom w:val="single" w:sz="4" w:space="0" w:color="auto"/>
              <w:right w:val="nil"/>
            </w:tcBorders>
          </w:tcPr>
          <w:p w14:paraId="5D4FA111" w14:textId="043D7EAA" w:rsidR="00B70C17" w:rsidRPr="00EF3A5D" w:rsidRDefault="00DF4484" w:rsidP="00DF4484">
            <w:pPr>
              <w:spacing w:line="360" w:lineRule="auto"/>
              <w:jc w:val="center"/>
              <w:rPr>
                <w:rFonts w:asciiTheme="majorHAnsi" w:hAnsiTheme="majorHAnsi" w:cs="Times New Roman"/>
                <w:b/>
                <w:sz w:val="22"/>
                <w:szCs w:val="22"/>
              </w:rPr>
            </w:pPr>
            <w:r>
              <w:rPr>
                <w:rFonts w:asciiTheme="majorHAnsi" w:hAnsiTheme="majorHAnsi" w:cs="Times New Roman"/>
                <w:b/>
                <w:sz w:val="22"/>
                <w:szCs w:val="22"/>
              </w:rPr>
              <w:lastRenderedPageBreak/>
              <w:t>Συσχετίσεις</w:t>
            </w:r>
          </w:p>
        </w:tc>
      </w:tr>
      <w:tr w:rsidR="00B70C17" w:rsidRPr="00EF3A5D" w14:paraId="60EE9670" w14:textId="77777777" w:rsidTr="0013072B">
        <w:trPr>
          <w:trHeight w:val="71"/>
        </w:trPr>
        <w:tc>
          <w:tcPr>
            <w:tcW w:w="1912" w:type="dxa"/>
            <w:tcBorders>
              <w:top w:val="single" w:sz="4" w:space="0" w:color="auto"/>
              <w:left w:val="nil"/>
              <w:bottom w:val="nil"/>
              <w:right w:val="nil"/>
            </w:tcBorders>
          </w:tcPr>
          <w:p w14:paraId="67B864C4" w14:textId="77777777" w:rsidR="00B70C17" w:rsidRPr="00EF3A5D" w:rsidRDefault="00B70C17" w:rsidP="00851DDF">
            <w:pPr>
              <w:spacing w:line="360" w:lineRule="auto"/>
              <w:rPr>
                <w:rFonts w:asciiTheme="majorHAnsi" w:hAnsiTheme="majorHAnsi" w:cs="Times New Roman"/>
                <w:b/>
                <w:sz w:val="22"/>
                <w:szCs w:val="22"/>
              </w:rPr>
            </w:pPr>
          </w:p>
        </w:tc>
        <w:tc>
          <w:tcPr>
            <w:tcW w:w="2449" w:type="dxa"/>
            <w:tcBorders>
              <w:top w:val="single" w:sz="4" w:space="0" w:color="auto"/>
              <w:left w:val="nil"/>
              <w:bottom w:val="nil"/>
              <w:right w:val="nil"/>
            </w:tcBorders>
          </w:tcPr>
          <w:p w14:paraId="27FEA432" w14:textId="77777777" w:rsidR="00B70C17" w:rsidRPr="00EF3A5D" w:rsidRDefault="00B70C17" w:rsidP="00851DDF">
            <w:pPr>
              <w:spacing w:line="360" w:lineRule="auto"/>
              <w:rPr>
                <w:rFonts w:asciiTheme="majorHAnsi" w:hAnsiTheme="majorHAnsi" w:cs="Times New Roman"/>
                <w:b/>
                <w:sz w:val="22"/>
                <w:szCs w:val="22"/>
              </w:rPr>
            </w:pPr>
          </w:p>
        </w:tc>
        <w:tc>
          <w:tcPr>
            <w:tcW w:w="2551" w:type="dxa"/>
            <w:tcBorders>
              <w:top w:val="single" w:sz="4" w:space="0" w:color="auto"/>
              <w:left w:val="nil"/>
              <w:bottom w:val="nil"/>
              <w:right w:val="nil"/>
            </w:tcBorders>
          </w:tcPr>
          <w:p w14:paraId="6EEDE8B4" w14:textId="77777777" w:rsidR="00B70C17" w:rsidRPr="00EF3A5D" w:rsidRDefault="00B70C17" w:rsidP="00851DDF">
            <w:pPr>
              <w:spacing w:line="360" w:lineRule="auto"/>
              <w:rPr>
                <w:rFonts w:asciiTheme="majorHAnsi" w:hAnsiTheme="majorHAnsi" w:cs="Times New Roman"/>
                <w:b/>
                <w:sz w:val="22"/>
                <w:szCs w:val="22"/>
              </w:rPr>
            </w:pPr>
          </w:p>
        </w:tc>
        <w:tc>
          <w:tcPr>
            <w:tcW w:w="1418" w:type="dxa"/>
            <w:tcBorders>
              <w:top w:val="single" w:sz="4" w:space="0" w:color="auto"/>
              <w:left w:val="nil"/>
              <w:bottom w:val="nil"/>
              <w:right w:val="nil"/>
            </w:tcBorders>
          </w:tcPr>
          <w:p w14:paraId="380539BA" w14:textId="789256E4" w:rsidR="00B70C17" w:rsidRPr="00D05EA1" w:rsidRDefault="00DF4484" w:rsidP="00851DDF">
            <w:pPr>
              <w:spacing w:line="360" w:lineRule="auto"/>
              <w:jc w:val="center"/>
              <w:rPr>
                <w:rFonts w:asciiTheme="majorHAnsi" w:hAnsiTheme="majorHAnsi" w:cs="Times New Roman"/>
                <w:sz w:val="22"/>
                <w:szCs w:val="22"/>
                <w:highlight w:val="red"/>
              </w:rPr>
            </w:pPr>
            <w:r w:rsidRPr="00D05EA1">
              <w:rPr>
                <w:rFonts w:asciiTheme="majorHAnsi" w:hAnsiTheme="majorHAnsi" w:cs="Times New Roman"/>
                <w:sz w:val="22"/>
                <w:szCs w:val="22"/>
                <w:highlight w:val="red"/>
              </w:rPr>
              <w:t>Οικονομική κατάσταση</w:t>
            </w:r>
          </w:p>
        </w:tc>
        <w:tc>
          <w:tcPr>
            <w:tcW w:w="1276" w:type="dxa"/>
            <w:tcBorders>
              <w:top w:val="single" w:sz="4" w:space="0" w:color="auto"/>
              <w:left w:val="nil"/>
              <w:bottom w:val="nil"/>
              <w:right w:val="nil"/>
            </w:tcBorders>
            <w:vAlign w:val="center"/>
          </w:tcPr>
          <w:p w14:paraId="3B84639F" w14:textId="47CF6E5C" w:rsidR="00B70C17" w:rsidRPr="00D05EA1" w:rsidRDefault="00DF4484" w:rsidP="00851DDF">
            <w:pPr>
              <w:spacing w:line="360" w:lineRule="auto"/>
              <w:jc w:val="center"/>
              <w:rPr>
                <w:rFonts w:asciiTheme="majorHAnsi" w:hAnsiTheme="majorHAnsi" w:cs="Times New Roman"/>
                <w:sz w:val="22"/>
                <w:szCs w:val="22"/>
                <w:highlight w:val="red"/>
              </w:rPr>
            </w:pPr>
            <w:r w:rsidRPr="00D05EA1">
              <w:rPr>
                <w:rFonts w:asciiTheme="majorHAnsi" w:hAnsiTheme="majorHAnsi" w:cs="Times New Roman"/>
                <w:sz w:val="22"/>
                <w:szCs w:val="22"/>
                <w:highlight w:val="red"/>
              </w:rPr>
              <w:t>Μ.Ο Εμπλοκής και μη Εμπλοκής</w:t>
            </w:r>
          </w:p>
        </w:tc>
      </w:tr>
      <w:tr w:rsidR="00B70C17" w:rsidRPr="00EF3A5D" w14:paraId="668E5E17" w14:textId="77777777" w:rsidTr="0013072B">
        <w:tc>
          <w:tcPr>
            <w:tcW w:w="1912" w:type="dxa"/>
            <w:tcBorders>
              <w:top w:val="nil"/>
              <w:left w:val="nil"/>
              <w:bottom w:val="nil"/>
              <w:right w:val="nil"/>
            </w:tcBorders>
          </w:tcPr>
          <w:p w14:paraId="3C0E320F" w14:textId="77777777" w:rsidR="00B70C17" w:rsidRPr="00EF3A5D" w:rsidRDefault="00B70C17" w:rsidP="00851DDF">
            <w:pPr>
              <w:spacing w:line="360" w:lineRule="auto"/>
              <w:rPr>
                <w:rFonts w:asciiTheme="majorHAnsi" w:hAnsiTheme="majorHAnsi" w:cs="Times New Roman"/>
                <w:sz w:val="22"/>
                <w:szCs w:val="22"/>
              </w:rPr>
            </w:pPr>
            <w:r w:rsidRPr="00EF3A5D">
              <w:rPr>
                <w:rFonts w:asciiTheme="majorHAnsi" w:hAnsiTheme="majorHAnsi" w:cs="Times New Roman"/>
                <w:sz w:val="22"/>
                <w:szCs w:val="22"/>
              </w:rPr>
              <w:t>Spearman’s rho</w:t>
            </w:r>
          </w:p>
        </w:tc>
        <w:tc>
          <w:tcPr>
            <w:tcW w:w="2449" w:type="dxa"/>
            <w:tcBorders>
              <w:top w:val="nil"/>
              <w:left w:val="nil"/>
              <w:bottom w:val="nil"/>
              <w:right w:val="nil"/>
            </w:tcBorders>
          </w:tcPr>
          <w:p w14:paraId="07A34E75" w14:textId="5EF9777B" w:rsidR="00B70C17" w:rsidRPr="00D05EA1" w:rsidRDefault="00DF4484" w:rsidP="00851DDF">
            <w:pPr>
              <w:spacing w:line="360" w:lineRule="auto"/>
              <w:rPr>
                <w:rFonts w:asciiTheme="majorHAnsi" w:hAnsiTheme="majorHAnsi" w:cs="Times New Roman"/>
                <w:sz w:val="22"/>
                <w:szCs w:val="22"/>
                <w:highlight w:val="red"/>
              </w:rPr>
            </w:pPr>
            <w:r w:rsidRPr="00D05EA1">
              <w:rPr>
                <w:rFonts w:asciiTheme="majorHAnsi" w:hAnsiTheme="majorHAnsi" w:cs="Times New Roman"/>
                <w:sz w:val="22"/>
                <w:szCs w:val="22"/>
                <w:highlight w:val="red"/>
              </w:rPr>
              <w:t>Οικονομική κατάσταση</w:t>
            </w:r>
          </w:p>
        </w:tc>
        <w:tc>
          <w:tcPr>
            <w:tcW w:w="2551" w:type="dxa"/>
            <w:tcBorders>
              <w:top w:val="nil"/>
              <w:left w:val="nil"/>
              <w:bottom w:val="nil"/>
              <w:right w:val="nil"/>
            </w:tcBorders>
          </w:tcPr>
          <w:p w14:paraId="1F058C4A" w14:textId="6A5BD089" w:rsidR="00B70C17" w:rsidRPr="00EF3A5D" w:rsidRDefault="00DF4484" w:rsidP="00851DDF">
            <w:pPr>
              <w:spacing w:line="360" w:lineRule="auto"/>
              <w:rPr>
                <w:rFonts w:asciiTheme="majorHAnsi" w:hAnsiTheme="majorHAnsi" w:cs="Times New Roman"/>
                <w:sz w:val="22"/>
                <w:szCs w:val="22"/>
              </w:rPr>
            </w:pPr>
            <w:r w:rsidRPr="00D05EA1">
              <w:rPr>
                <w:rFonts w:asciiTheme="majorHAnsi" w:hAnsiTheme="majorHAnsi" w:cs="Times New Roman"/>
                <w:sz w:val="22"/>
                <w:szCs w:val="22"/>
                <w:highlight w:val="red"/>
              </w:rPr>
              <w:t>Συντελεστής Συσχέτισης</w:t>
            </w:r>
          </w:p>
        </w:tc>
        <w:tc>
          <w:tcPr>
            <w:tcW w:w="1418" w:type="dxa"/>
            <w:tcBorders>
              <w:top w:val="nil"/>
              <w:left w:val="nil"/>
              <w:bottom w:val="nil"/>
              <w:right w:val="nil"/>
            </w:tcBorders>
          </w:tcPr>
          <w:p w14:paraId="32E3A5AF"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1,000</w:t>
            </w:r>
          </w:p>
        </w:tc>
        <w:tc>
          <w:tcPr>
            <w:tcW w:w="1276" w:type="dxa"/>
            <w:tcBorders>
              <w:top w:val="nil"/>
              <w:left w:val="nil"/>
              <w:bottom w:val="nil"/>
              <w:right w:val="nil"/>
            </w:tcBorders>
          </w:tcPr>
          <w:p w14:paraId="62580A42"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,685**</w:t>
            </w:r>
          </w:p>
        </w:tc>
      </w:tr>
      <w:tr w:rsidR="00B70C17" w:rsidRPr="00EF3A5D" w14:paraId="28E49083" w14:textId="77777777" w:rsidTr="0013072B">
        <w:tc>
          <w:tcPr>
            <w:tcW w:w="1912" w:type="dxa"/>
            <w:tcBorders>
              <w:top w:val="nil"/>
              <w:left w:val="nil"/>
              <w:bottom w:val="nil"/>
              <w:right w:val="nil"/>
            </w:tcBorders>
          </w:tcPr>
          <w:p w14:paraId="7EBC8992" w14:textId="77777777" w:rsidR="00B70C17" w:rsidRPr="00EF3A5D" w:rsidRDefault="00B70C17" w:rsidP="00851DDF">
            <w:pPr>
              <w:spacing w:line="360" w:lineRule="auto"/>
              <w:rPr>
                <w:rFonts w:asciiTheme="majorHAnsi" w:hAnsiTheme="majorHAnsi" w:cs="Times New Roman"/>
                <w:sz w:val="22"/>
                <w:szCs w:val="22"/>
              </w:rPr>
            </w:pPr>
          </w:p>
        </w:tc>
        <w:tc>
          <w:tcPr>
            <w:tcW w:w="2449" w:type="dxa"/>
            <w:tcBorders>
              <w:top w:val="nil"/>
              <w:left w:val="nil"/>
              <w:bottom w:val="nil"/>
              <w:right w:val="nil"/>
            </w:tcBorders>
          </w:tcPr>
          <w:p w14:paraId="21F6917D" w14:textId="77777777" w:rsidR="00B70C17" w:rsidRPr="00D05EA1" w:rsidRDefault="00B70C17" w:rsidP="00851DDF">
            <w:pPr>
              <w:spacing w:line="360" w:lineRule="auto"/>
              <w:rPr>
                <w:rFonts w:asciiTheme="majorHAnsi" w:hAnsiTheme="majorHAnsi" w:cs="Times New Roman"/>
                <w:sz w:val="22"/>
                <w:szCs w:val="22"/>
                <w:highlight w:val="red"/>
              </w:rPr>
            </w:pPr>
          </w:p>
        </w:tc>
        <w:tc>
          <w:tcPr>
            <w:tcW w:w="2551" w:type="dxa"/>
            <w:tcBorders>
              <w:top w:val="nil"/>
              <w:left w:val="nil"/>
              <w:bottom w:val="nil"/>
              <w:right w:val="nil"/>
            </w:tcBorders>
          </w:tcPr>
          <w:p w14:paraId="0B382E2C" w14:textId="77777777" w:rsidR="00B70C17" w:rsidRPr="00EF3A5D" w:rsidRDefault="00B70C17" w:rsidP="00851DDF">
            <w:pPr>
              <w:spacing w:line="360" w:lineRule="auto"/>
              <w:rPr>
                <w:rFonts w:asciiTheme="majorHAnsi" w:hAnsiTheme="majorHAnsi" w:cs="Times New Roman"/>
                <w:sz w:val="22"/>
                <w:szCs w:val="22"/>
              </w:rPr>
            </w:pPr>
            <w:r w:rsidRPr="00EF3A5D">
              <w:rPr>
                <w:rFonts w:asciiTheme="majorHAnsi" w:hAnsiTheme="majorHAnsi" w:cs="Times New Roman"/>
                <w:sz w:val="22"/>
                <w:szCs w:val="22"/>
              </w:rPr>
              <w:t>Sig. (2-tailed)</w:t>
            </w:r>
          </w:p>
        </w:tc>
        <w:tc>
          <w:tcPr>
            <w:tcW w:w="1418" w:type="dxa"/>
            <w:tcBorders>
              <w:top w:val="nil"/>
              <w:left w:val="nil"/>
              <w:bottom w:val="nil"/>
              <w:right w:val="nil"/>
            </w:tcBorders>
          </w:tcPr>
          <w:p w14:paraId="05500596"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w:t>
            </w:r>
          </w:p>
        </w:tc>
        <w:tc>
          <w:tcPr>
            <w:tcW w:w="1276" w:type="dxa"/>
            <w:tcBorders>
              <w:top w:val="nil"/>
              <w:left w:val="nil"/>
              <w:bottom w:val="nil"/>
              <w:right w:val="nil"/>
            </w:tcBorders>
          </w:tcPr>
          <w:p w14:paraId="69F2F66D"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,000</w:t>
            </w:r>
          </w:p>
        </w:tc>
      </w:tr>
      <w:tr w:rsidR="00B70C17" w:rsidRPr="00EF3A5D" w14:paraId="4E929E97" w14:textId="77777777" w:rsidTr="0013072B">
        <w:tc>
          <w:tcPr>
            <w:tcW w:w="1912" w:type="dxa"/>
            <w:tcBorders>
              <w:top w:val="nil"/>
              <w:left w:val="nil"/>
              <w:bottom w:val="nil"/>
              <w:right w:val="nil"/>
            </w:tcBorders>
          </w:tcPr>
          <w:p w14:paraId="6388AE0E" w14:textId="77777777" w:rsidR="00B70C17" w:rsidRPr="00EF3A5D" w:rsidRDefault="00B70C17" w:rsidP="00851DDF">
            <w:pPr>
              <w:spacing w:line="360" w:lineRule="auto"/>
              <w:rPr>
                <w:rFonts w:asciiTheme="majorHAnsi" w:hAnsiTheme="majorHAnsi" w:cs="Times New Roman"/>
                <w:sz w:val="22"/>
                <w:szCs w:val="22"/>
              </w:rPr>
            </w:pPr>
          </w:p>
        </w:tc>
        <w:tc>
          <w:tcPr>
            <w:tcW w:w="2449" w:type="dxa"/>
            <w:tcBorders>
              <w:top w:val="nil"/>
              <w:left w:val="nil"/>
              <w:bottom w:val="nil"/>
              <w:right w:val="nil"/>
            </w:tcBorders>
          </w:tcPr>
          <w:p w14:paraId="0D8A3F55" w14:textId="77777777" w:rsidR="00B70C17" w:rsidRPr="00D05EA1" w:rsidRDefault="00B70C17" w:rsidP="00851DDF">
            <w:pPr>
              <w:spacing w:line="360" w:lineRule="auto"/>
              <w:rPr>
                <w:rFonts w:asciiTheme="majorHAnsi" w:hAnsiTheme="majorHAnsi" w:cs="Times New Roman"/>
                <w:sz w:val="22"/>
                <w:szCs w:val="22"/>
                <w:highlight w:val="red"/>
              </w:rPr>
            </w:pPr>
          </w:p>
        </w:tc>
        <w:tc>
          <w:tcPr>
            <w:tcW w:w="2551" w:type="dxa"/>
            <w:tcBorders>
              <w:top w:val="nil"/>
              <w:left w:val="nil"/>
              <w:bottom w:val="nil"/>
              <w:right w:val="nil"/>
            </w:tcBorders>
          </w:tcPr>
          <w:p w14:paraId="0BAC571B" w14:textId="77777777" w:rsidR="00B70C17" w:rsidRPr="00EF3A5D" w:rsidRDefault="00B70C17" w:rsidP="00851DDF">
            <w:pPr>
              <w:spacing w:line="360" w:lineRule="auto"/>
              <w:rPr>
                <w:rFonts w:asciiTheme="majorHAnsi" w:hAnsiTheme="majorHAnsi" w:cs="Times New Roman"/>
                <w:sz w:val="22"/>
                <w:szCs w:val="22"/>
              </w:rPr>
            </w:pPr>
            <w:r w:rsidRPr="00EF3A5D">
              <w:rPr>
                <w:rFonts w:asciiTheme="majorHAnsi" w:hAnsiTheme="majorHAnsi" w:cs="Times New Roman"/>
                <w:sz w:val="22"/>
                <w:szCs w:val="22"/>
              </w:rPr>
              <w:t>N</w:t>
            </w:r>
          </w:p>
        </w:tc>
        <w:tc>
          <w:tcPr>
            <w:tcW w:w="1418" w:type="dxa"/>
            <w:tcBorders>
              <w:top w:val="nil"/>
              <w:left w:val="nil"/>
              <w:bottom w:val="nil"/>
              <w:right w:val="nil"/>
            </w:tcBorders>
          </w:tcPr>
          <w:p w14:paraId="6D965543"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22</w:t>
            </w:r>
          </w:p>
        </w:tc>
        <w:tc>
          <w:tcPr>
            <w:tcW w:w="1276" w:type="dxa"/>
            <w:tcBorders>
              <w:top w:val="nil"/>
              <w:left w:val="nil"/>
              <w:bottom w:val="nil"/>
              <w:right w:val="nil"/>
            </w:tcBorders>
          </w:tcPr>
          <w:p w14:paraId="3B51DCDB"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22</w:t>
            </w:r>
          </w:p>
        </w:tc>
      </w:tr>
      <w:tr w:rsidR="00B70C17" w:rsidRPr="00EF3A5D" w14:paraId="0AECC030" w14:textId="77777777" w:rsidTr="0013072B">
        <w:tc>
          <w:tcPr>
            <w:tcW w:w="1912" w:type="dxa"/>
            <w:tcBorders>
              <w:top w:val="nil"/>
              <w:left w:val="nil"/>
              <w:bottom w:val="nil"/>
              <w:right w:val="nil"/>
            </w:tcBorders>
          </w:tcPr>
          <w:p w14:paraId="69DAE94F" w14:textId="77777777" w:rsidR="00B70C17" w:rsidRPr="00EF3A5D" w:rsidRDefault="00B70C17" w:rsidP="00851DDF">
            <w:pPr>
              <w:spacing w:line="360" w:lineRule="auto"/>
              <w:rPr>
                <w:rFonts w:asciiTheme="majorHAnsi" w:hAnsiTheme="majorHAnsi" w:cs="Times New Roman"/>
                <w:sz w:val="22"/>
                <w:szCs w:val="22"/>
              </w:rPr>
            </w:pPr>
          </w:p>
        </w:tc>
        <w:tc>
          <w:tcPr>
            <w:tcW w:w="2449" w:type="dxa"/>
            <w:tcBorders>
              <w:top w:val="nil"/>
              <w:left w:val="nil"/>
              <w:bottom w:val="nil"/>
              <w:right w:val="nil"/>
            </w:tcBorders>
          </w:tcPr>
          <w:p w14:paraId="0E356F77" w14:textId="372A2ADD" w:rsidR="00B70C17" w:rsidRPr="00D05EA1" w:rsidRDefault="00DF4484" w:rsidP="00851DDF">
            <w:pPr>
              <w:spacing w:line="360" w:lineRule="auto"/>
              <w:rPr>
                <w:rFonts w:asciiTheme="majorHAnsi" w:hAnsiTheme="majorHAnsi" w:cs="Times New Roman"/>
                <w:sz w:val="22"/>
                <w:szCs w:val="22"/>
                <w:highlight w:val="red"/>
              </w:rPr>
            </w:pPr>
            <w:r w:rsidRPr="00D05EA1">
              <w:rPr>
                <w:rFonts w:asciiTheme="majorHAnsi" w:hAnsiTheme="majorHAnsi" w:cs="Times New Roman"/>
                <w:sz w:val="22"/>
                <w:szCs w:val="22"/>
                <w:highlight w:val="red"/>
              </w:rPr>
              <w:t>Μ.Ο Εμπλοκής και μη Εμπλοκής</w:t>
            </w:r>
          </w:p>
        </w:tc>
        <w:tc>
          <w:tcPr>
            <w:tcW w:w="2551" w:type="dxa"/>
            <w:tcBorders>
              <w:top w:val="nil"/>
              <w:left w:val="nil"/>
              <w:bottom w:val="nil"/>
              <w:right w:val="nil"/>
            </w:tcBorders>
          </w:tcPr>
          <w:p w14:paraId="3301F40F" w14:textId="40219AEB" w:rsidR="00B70C17" w:rsidRPr="00EF3A5D" w:rsidRDefault="00DF4484" w:rsidP="00851DDF">
            <w:pPr>
              <w:spacing w:line="360" w:lineRule="auto"/>
              <w:rPr>
                <w:rFonts w:asciiTheme="majorHAnsi" w:hAnsiTheme="majorHAnsi" w:cs="Times New Roman"/>
                <w:sz w:val="22"/>
                <w:szCs w:val="22"/>
              </w:rPr>
            </w:pPr>
            <w:r w:rsidRPr="00D05EA1">
              <w:rPr>
                <w:rFonts w:asciiTheme="majorHAnsi" w:hAnsiTheme="majorHAnsi" w:cs="Times New Roman"/>
                <w:sz w:val="22"/>
                <w:szCs w:val="22"/>
                <w:highlight w:val="red"/>
              </w:rPr>
              <w:t>Συντελεστής Συσχέτισης</w:t>
            </w:r>
          </w:p>
        </w:tc>
        <w:tc>
          <w:tcPr>
            <w:tcW w:w="1418" w:type="dxa"/>
            <w:tcBorders>
              <w:top w:val="nil"/>
              <w:left w:val="nil"/>
              <w:bottom w:val="nil"/>
              <w:right w:val="nil"/>
            </w:tcBorders>
          </w:tcPr>
          <w:p w14:paraId="6CFCB664"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,685**</w:t>
            </w:r>
          </w:p>
        </w:tc>
        <w:tc>
          <w:tcPr>
            <w:tcW w:w="1276" w:type="dxa"/>
            <w:tcBorders>
              <w:top w:val="nil"/>
              <w:left w:val="nil"/>
              <w:bottom w:val="nil"/>
              <w:right w:val="nil"/>
            </w:tcBorders>
          </w:tcPr>
          <w:p w14:paraId="35EE1D74"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1,000</w:t>
            </w:r>
          </w:p>
        </w:tc>
      </w:tr>
      <w:tr w:rsidR="00B70C17" w:rsidRPr="00EF3A5D" w14:paraId="32352AE0" w14:textId="77777777" w:rsidTr="0013072B">
        <w:tc>
          <w:tcPr>
            <w:tcW w:w="1912" w:type="dxa"/>
            <w:tcBorders>
              <w:top w:val="nil"/>
              <w:left w:val="nil"/>
              <w:bottom w:val="nil"/>
              <w:right w:val="nil"/>
            </w:tcBorders>
          </w:tcPr>
          <w:p w14:paraId="3795AB22" w14:textId="77777777" w:rsidR="00B70C17" w:rsidRPr="00EF3A5D" w:rsidRDefault="00B70C17" w:rsidP="00851DDF">
            <w:pPr>
              <w:spacing w:line="360" w:lineRule="auto"/>
              <w:rPr>
                <w:rFonts w:asciiTheme="majorHAnsi" w:hAnsiTheme="majorHAnsi" w:cs="Times New Roman"/>
                <w:sz w:val="22"/>
                <w:szCs w:val="22"/>
              </w:rPr>
            </w:pPr>
          </w:p>
        </w:tc>
        <w:tc>
          <w:tcPr>
            <w:tcW w:w="2449" w:type="dxa"/>
            <w:tcBorders>
              <w:top w:val="nil"/>
              <w:left w:val="nil"/>
              <w:bottom w:val="nil"/>
              <w:right w:val="nil"/>
            </w:tcBorders>
          </w:tcPr>
          <w:p w14:paraId="03D30BF3" w14:textId="77777777" w:rsidR="00B70C17" w:rsidRPr="00EF3A5D" w:rsidRDefault="00B70C17" w:rsidP="00851DDF">
            <w:pPr>
              <w:spacing w:line="360" w:lineRule="auto"/>
              <w:rPr>
                <w:rFonts w:asciiTheme="majorHAnsi" w:hAnsiTheme="majorHAnsi" w:cs="Times New Roman"/>
                <w:sz w:val="22"/>
                <w:szCs w:val="22"/>
              </w:rPr>
            </w:pPr>
          </w:p>
        </w:tc>
        <w:tc>
          <w:tcPr>
            <w:tcW w:w="2551" w:type="dxa"/>
            <w:tcBorders>
              <w:top w:val="nil"/>
              <w:left w:val="nil"/>
              <w:bottom w:val="nil"/>
              <w:right w:val="nil"/>
            </w:tcBorders>
          </w:tcPr>
          <w:p w14:paraId="527E1F86" w14:textId="77777777" w:rsidR="00B70C17" w:rsidRPr="00EF3A5D" w:rsidRDefault="00B70C17" w:rsidP="00851DDF">
            <w:pPr>
              <w:spacing w:line="360" w:lineRule="auto"/>
              <w:rPr>
                <w:rFonts w:asciiTheme="majorHAnsi" w:hAnsiTheme="majorHAnsi" w:cs="Times New Roman"/>
                <w:sz w:val="22"/>
                <w:szCs w:val="22"/>
              </w:rPr>
            </w:pPr>
            <w:r w:rsidRPr="00EF3A5D">
              <w:rPr>
                <w:rFonts w:asciiTheme="majorHAnsi" w:hAnsiTheme="majorHAnsi" w:cs="Times New Roman"/>
                <w:sz w:val="22"/>
                <w:szCs w:val="22"/>
              </w:rPr>
              <w:t>Sig. (2-tailed)</w:t>
            </w:r>
          </w:p>
        </w:tc>
        <w:tc>
          <w:tcPr>
            <w:tcW w:w="1418" w:type="dxa"/>
            <w:tcBorders>
              <w:top w:val="nil"/>
              <w:left w:val="nil"/>
              <w:bottom w:val="nil"/>
              <w:right w:val="nil"/>
            </w:tcBorders>
          </w:tcPr>
          <w:p w14:paraId="4B8C4500"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,000</w:t>
            </w:r>
          </w:p>
        </w:tc>
        <w:tc>
          <w:tcPr>
            <w:tcW w:w="1276" w:type="dxa"/>
            <w:tcBorders>
              <w:top w:val="nil"/>
              <w:left w:val="nil"/>
              <w:bottom w:val="nil"/>
              <w:right w:val="nil"/>
            </w:tcBorders>
          </w:tcPr>
          <w:p w14:paraId="5F3FEB5D"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w:t>
            </w:r>
          </w:p>
        </w:tc>
      </w:tr>
      <w:tr w:rsidR="00B70C17" w:rsidRPr="00EF3A5D" w14:paraId="4B948481" w14:textId="77777777" w:rsidTr="0013072B">
        <w:tc>
          <w:tcPr>
            <w:tcW w:w="1912" w:type="dxa"/>
            <w:tcBorders>
              <w:top w:val="nil"/>
              <w:left w:val="nil"/>
              <w:bottom w:val="outset" w:sz="6" w:space="0" w:color="auto"/>
              <w:right w:val="nil"/>
            </w:tcBorders>
          </w:tcPr>
          <w:p w14:paraId="3CBA8FEB" w14:textId="77777777" w:rsidR="00B70C17" w:rsidRPr="00EF3A5D" w:rsidRDefault="00B70C17" w:rsidP="00851DDF">
            <w:pPr>
              <w:spacing w:line="360" w:lineRule="auto"/>
              <w:rPr>
                <w:rFonts w:asciiTheme="majorHAnsi" w:hAnsiTheme="majorHAnsi" w:cs="Times New Roman"/>
                <w:sz w:val="22"/>
                <w:szCs w:val="22"/>
              </w:rPr>
            </w:pPr>
          </w:p>
        </w:tc>
        <w:tc>
          <w:tcPr>
            <w:tcW w:w="2449" w:type="dxa"/>
            <w:tcBorders>
              <w:top w:val="nil"/>
              <w:left w:val="nil"/>
              <w:bottom w:val="outset" w:sz="6" w:space="0" w:color="auto"/>
              <w:right w:val="nil"/>
            </w:tcBorders>
          </w:tcPr>
          <w:p w14:paraId="5C2FFB38" w14:textId="77777777" w:rsidR="00B70C17" w:rsidRPr="00EF3A5D" w:rsidRDefault="00B70C17" w:rsidP="00851DDF">
            <w:pPr>
              <w:spacing w:line="360" w:lineRule="auto"/>
              <w:rPr>
                <w:rFonts w:asciiTheme="majorHAnsi" w:hAnsiTheme="majorHAnsi" w:cs="Times New Roman"/>
                <w:sz w:val="22"/>
                <w:szCs w:val="22"/>
                <w:lang w:val="el-GR"/>
              </w:rPr>
            </w:pPr>
          </w:p>
        </w:tc>
        <w:tc>
          <w:tcPr>
            <w:tcW w:w="2551" w:type="dxa"/>
            <w:tcBorders>
              <w:top w:val="nil"/>
              <w:left w:val="nil"/>
              <w:bottom w:val="outset" w:sz="6" w:space="0" w:color="auto"/>
              <w:right w:val="nil"/>
            </w:tcBorders>
          </w:tcPr>
          <w:p w14:paraId="37C56CCF" w14:textId="77777777" w:rsidR="00B70C17" w:rsidRPr="00EF3A5D" w:rsidRDefault="00B70C17" w:rsidP="00851DDF">
            <w:pPr>
              <w:spacing w:line="360" w:lineRule="auto"/>
              <w:rPr>
                <w:rFonts w:asciiTheme="majorHAnsi" w:hAnsiTheme="majorHAnsi" w:cs="Times New Roman"/>
                <w:sz w:val="22"/>
                <w:szCs w:val="22"/>
              </w:rPr>
            </w:pPr>
            <w:r w:rsidRPr="00EF3A5D">
              <w:rPr>
                <w:rFonts w:asciiTheme="majorHAnsi" w:hAnsiTheme="majorHAnsi" w:cs="Times New Roman"/>
                <w:sz w:val="22"/>
                <w:szCs w:val="22"/>
              </w:rPr>
              <w:t>N</w:t>
            </w:r>
          </w:p>
        </w:tc>
        <w:tc>
          <w:tcPr>
            <w:tcW w:w="1418" w:type="dxa"/>
            <w:tcBorders>
              <w:top w:val="nil"/>
              <w:left w:val="nil"/>
              <w:bottom w:val="outset" w:sz="6" w:space="0" w:color="auto"/>
              <w:right w:val="nil"/>
            </w:tcBorders>
          </w:tcPr>
          <w:p w14:paraId="2BEC1665"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22</w:t>
            </w:r>
          </w:p>
        </w:tc>
        <w:tc>
          <w:tcPr>
            <w:tcW w:w="1276" w:type="dxa"/>
            <w:tcBorders>
              <w:top w:val="nil"/>
              <w:left w:val="nil"/>
              <w:bottom w:val="outset" w:sz="6" w:space="0" w:color="auto"/>
              <w:right w:val="nil"/>
            </w:tcBorders>
          </w:tcPr>
          <w:p w14:paraId="1B23E853"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22</w:t>
            </w:r>
          </w:p>
        </w:tc>
      </w:tr>
      <w:tr w:rsidR="00B70C17" w:rsidRPr="00EF3A5D" w14:paraId="36433EFC" w14:textId="77777777" w:rsidTr="00851DDF">
        <w:trPr>
          <w:trHeight w:val="318"/>
        </w:trPr>
        <w:tc>
          <w:tcPr>
            <w:tcW w:w="9606" w:type="dxa"/>
            <w:gridSpan w:val="5"/>
            <w:tcBorders>
              <w:top w:val="outset" w:sz="6" w:space="0" w:color="auto"/>
              <w:left w:val="nil"/>
              <w:bottom w:val="nil"/>
              <w:right w:val="nil"/>
            </w:tcBorders>
          </w:tcPr>
          <w:p w14:paraId="1BAC263A" w14:textId="09B849EB" w:rsidR="00B70C17" w:rsidRPr="00EF3A5D" w:rsidRDefault="00B70C17" w:rsidP="00026F5C">
            <w:pPr>
              <w:spacing w:beforeLines="240" w:before="576" w:line="360" w:lineRule="auto"/>
              <w:rPr>
                <w:rFonts w:asciiTheme="majorHAnsi" w:hAnsiTheme="majorHAnsi" w:cs="Times New Roman"/>
                <w:sz w:val="22"/>
                <w:szCs w:val="22"/>
              </w:rPr>
            </w:pPr>
            <w:r w:rsidRPr="00EF3A5D">
              <w:rPr>
                <w:rFonts w:asciiTheme="majorHAnsi" w:hAnsiTheme="majorHAnsi" w:cs="Times New Roman"/>
                <w:sz w:val="22"/>
                <w:szCs w:val="22"/>
              </w:rPr>
              <w:t xml:space="preserve">**. </w:t>
            </w:r>
            <w:r w:rsidR="00F41896">
              <w:rPr>
                <w:rFonts w:asciiTheme="majorHAnsi" w:hAnsiTheme="majorHAnsi" w:cs="Times New Roman"/>
                <w:sz w:val="22"/>
                <w:szCs w:val="22"/>
              </w:rPr>
              <w:t>Η Συσχέτιση είναι σημαντική στο επίπεδο</w:t>
            </w:r>
            <w:r w:rsidR="007977EC">
              <w:rPr>
                <w:rFonts w:asciiTheme="majorHAnsi" w:hAnsiTheme="majorHAnsi" w:cs="Times New Roman"/>
                <w:sz w:val="22"/>
                <w:szCs w:val="22"/>
              </w:rPr>
              <w:t xml:space="preserve"> 0,01</w:t>
            </w:r>
            <w:r w:rsidRPr="00EF3A5D">
              <w:rPr>
                <w:rFonts w:asciiTheme="majorHAnsi" w:hAnsiTheme="majorHAnsi" w:cs="Times New Roman"/>
                <w:sz w:val="22"/>
                <w:szCs w:val="22"/>
              </w:rPr>
              <w:t xml:space="preserve"> (2-tailed).</w:t>
            </w:r>
          </w:p>
        </w:tc>
      </w:tr>
    </w:tbl>
    <w:p w14:paraId="010542A6" w14:textId="77777777" w:rsidR="00B70C17" w:rsidRPr="000B4A53" w:rsidRDefault="00B70C17" w:rsidP="00026F5C">
      <w:pPr>
        <w:spacing w:beforeLines="240" w:before="576"/>
        <w:rPr>
          <w:b/>
          <w:sz w:val="22"/>
          <w:szCs w:val="22"/>
        </w:rPr>
      </w:pPr>
    </w:p>
    <w:p w14:paraId="1DC7882B" w14:textId="72E23AC0" w:rsidR="00500AD4" w:rsidRPr="00500AD4" w:rsidRDefault="00363168" w:rsidP="00500AD4">
      <w:pPr>
        <w:spacing w:beforeLines="240" w:before="576"/>
        <w:ind w:firstLine="284"/>
        <w:rPr>
          <w:rFonts w:eastAsia="Times New Roman"/>
          <w:b/>
          <w:sz w:val="22"/>
          <w:szCs w:val="22"/>
          <w:lang w:val="el-GR"/>
        </w:rPr>
      </w:pPr>
      <w:r w:rsidRPr="00E26A71">
        <w:rPr>
          <w:rFonts w:eastAsia="Times New Roman"/>
          <w:b/>
          <w:sz w:val="22"/>
          <w:szCs w:val="22"/>
          <w:lang w:val="el-GR"/>
        </w:rPr>
        <w:t>Διαφοροποίηση Μορφωτικού Επιπέδου</w:t>
      </w:r>
    </w:p>
    <w:p w14:paraId="188F6DFF" w14:textId="0ABF95CB" w:rsidR="00026893" w:rsidRPr="00500AD4" w:rsidRDefault="00500AD4" w:rsidP="00500AD4">
      <w:pPr>
        <w:spacing w:before="240"/>
        <w:ind w:firstLine="284"/>
        <w:jc w:val="both"/>
        <w:rPr>
          <w:rFonts w:asciiTheme="majorHAnsi" w:eastAsia="Times New Roman" w:hAnsiTheme="majorHAnsi" w:cs="Times New Roman"/>
          <w:sz w:val="22"/>
          <w:szCs w:val="22"/>
        </w:rPr>
      </w:pPr>
      <w:r w:rsidRPr="00500AD4">
        <w:rPr>
          <w:rFonts w:asciiTheme="majorHAnsi" w:eastAsia="Times New Roman" w:hAnsiTheme="majorHAnsi" w:cs="Times New Roman"/>
          <w:sz w:val="22"/>
          <w:szCs w:val="22"/>
        </w:rPr>
        <w:t xml:space="preserve">Το μορφωτικό επίπεδο </w:t>
      </w:r>
      <w:r w:rsidRPr="00BD7EB1">
        <w:rPr>
          <w:rFonts w:asciiTheme="majorHAnsi" w:eastAsia="Times New Roman" w:hAnsiTheme="majorHAnsi" w:cs="Times New Roman"/>
          <w:sz w:val="22"/>
          <w:szCs w:val="22"/>
          <w:highlight w:val="red"/>
        </w:rPr>
        <w:t>συσχετίζεται</w:t>
      </w:r>
      <w:r w:rsidRPr="00500AD4">
        <w:rPr>
          <w:rFonts w:asciiTheme="majorHAnsi" w:eastAsia="Times New Roman" w:hAnsiTheme="majorHAnsi" w:cs="Times New Roman"/>
          <w:sz w:val="22"/>
          <w:szCs w:val="22"/>
        </w:rPr>
        <w:t xml:space="preserve"> ισχυρά με την εμπλοκή (p=0,00, r=0,862). Οι μητέρες με μεταπτυχιακούς ή διδακτορικούς </w:t>
      </w:r>
      <w:r w:rsidRPr="00BD7EB1">
        <w:rPr>
          <w:rFonts w:asciiTheme="majorHAnsi" w:eastAsia="Times New Roman" w:hAnsiTheme="majorHAnsi" w:cs="Times New Roman"/>
          <w:sz w:val="22"/>
          <w:szCs w:val="22"/>
          <w:highlight w:val="red"/>
        </w:rPr>
        <w:t>τίτλους συμμετέχουν περισσότερο σε σχολικές δραστηριότητες</w:t>
      </w:r>
      <w:r w:rsidRPr="00500AD4">
        <w:rPr>
          <w:rFonts w:asciiTheme="majorHAnsi" w:eastAsia="Times New Roman" w:hAnsiTheme="majorHAnsi" w:cs="Times New Roman"/>
          <w:sz w:val="22"/>
          <w:szCs w:val="22"/>
        </w:rPr>
        <w:t xml:space="preserve"> και </w:t>
      </w:r>
      <w:r w:rsidRPr="00BD7EB1">
        <w:rPr>
          <w:rFonts w:asciiTheme="majorHAnsi" w:eastAsia="Times New Roman" w:hAnsiTheme="majorHAnsi" w:cs="Times New Roman"/>
          <w:sz w:val="22"/>
          <w:szCs w:val="22"/>
          <w:highlight w:val="red"/>
        </w:rPr>
        <w:t>παρέχουν</w:t>
      </w:r>
      <w:r w:rsidRPr="00500AD4">
        <w:rPr>
          <w:rFonts w:asciiTheme="majorHAnsi" w:eastAsia="Times New Roman" w:hAnsiTheme="majorHAnsi" w:cs="Times New Roman"/>
          <w:sz w:val="22"/>
          <w:szCs w:val="22"/>
        </w:rPr>
        <w:t xml:space="preserve"> εκπαιδευτικά ερεθίσματα στο σπίτι, </w:t>
      </w:r>
      <w:r w:rsidRPr="00BD7EB1">
        <w:rPr>
          <w:rFonts w:asciiTheme="majorHAnsi" w:eastAsia="Times New Roman" w:hAnsiTheme="majorHAnsi" w:cs="Times New Roman"/>
          <w:sz w:val="22"/>
          <w:szCs w:val="22"/>
          <w:highlight w:val="red"/>
        </w:rPr>
        <w:t>ενώ οι μητέρες με χαμηλότερη μόρφωση</w:t>
      </w:r>
      <w:r w:rsidRPr="00500AD4">
        <w:rPr>
          <w:rFonts w:asciiTheme="majorHAnsi" w:eastAsia="Times New Roman" w:hAnsiTheme="majorHAnsi" w:cs="Times New Roman"/>
          <w:sz w:val="22"/>
          <w:szCs w:val="22"/>
        </w:rPr>
        <w:t xml:space="preserve"> εμφανίζουν περιορισμένη εμπλοκή λόγω έλλειψης γνώσεων ή αυτοπεποίθησης.</w:t>
      </w:r>
    </w:p>
    <w:p w14:paraId="517B9A44" w14:textId="77777777" w:rsidR="00B70C17" w:rsidRPr="004F7A36" w:rsidRDefault="00B70C17" w:rsidP="00575F33">
      <w:pPr>
        <w:spacing w:beforeLines="240" w:before="576" w:line="360" w:lineRule="auto"/>
        <w:jc w:val="center"/>
        <w:rPr>
          <w:rFonts w:asciiTheme="majorHAnsi" w:hAnsiTheme="majorHAnsi" w:cs="Times New Roman"/>
          <w:b/>
          <w:sz w:val="22"/>
          <w:szCs w:val="22"/>
          <w:lang w:val="el-GR"/>
        </w:rPr>
      </w:pPr>
      <w:r w:rsidRPr="004F7A36">
        <w:rPr>
          <w:rFonts w:asciiTheme="majorHAnsi" w:hAnsiTheme="majorHAnsi" w:cs="Times New Roman"/>
          <w:b/>
          <w:sz w:val="22"/>
          <w:szCs w:val="22"/>
          <w:lang w:val="el-GR"/>
        </w:rPr>
        <w:t>Πίνακας 1.4 Αποτελέσματα διαφοροποίησης μορφωτικού επιπέδου ανάλογα με την εμπλοκή-μη εμπλοκή</w:t>
      </w:r>
    </w:p>
    <w:p w14:paraId="0DD9F940" w14:textId="77777777" w:rsidR="00B70C17" w:rsidRPr="00EF3A5D" w:rsidRDefault="00B70C17" w:rsidP="00B70C17">
      <w:pPr>
        <w:spacing w:line="360" w:lineRule="auto"/>
        <w:jc w:val="center"/>
        <w:rPr>
          <w:rFonts w:asciiTheme="majorHAnsi" w:hAnsiTheme="majorHAnsi" w:cs="Times New Roman"/>
          <w:b/>
          <w:sz w:val="22"/>
          <w:szCs w:val="22"/>
          <w:lang w:val="el-GR"/>
        </w:rPr>
      </w:pPr>
    </w:p>
    <w:tbl>
      <w:tblPr>
        <w:tblStyle w:val="TableGrid"/>
        <w:tblW w:w="9606" w:type="dxa"/>
        <w:tblInd w:w="-324" w:type="dxa"/>
        <w:tblLayout w:type="fixed"/>
        <w:tblLook w:val="04A0" w:firstRow="1" w:lastRow="0" w:firstColumn="1" w:lastColumn="0" w:noHBand="0" w:noVBand="1"/>
      </w:tblPr>
      <w:tblGrid>
        <w:gridCol w:w="1912"/>
        <w:gridCol w:w="2449"/>
        <w:gridCol w:w="2551"/>
        <w:gridCol w:w="1418"/>
        <w:gridCol w:w="1276"/>
      </w:tblGrid>
      <w:tr w:rsidR="00B70C17" w:rsidRPr="00EF3A5D" w14:paraId="540941D2" w14:textId="77777777" w:rsidTr="00851DDF">
        <w:trPr>
          <w:trHeight w:val="365"/>
        </w:trPr>
        <w:tc>
          <w:tcPr>
            <w:tcW w:w="9606" w:type="dxa"/>
            <w:gridSpan w:val="5"/>
            <w:tcBorders>
              <w:top w:val="single" w:sz="4" w:space="0" w:color="auto"/>
              <w:left w:val="nil"/>
              <w:bottom w:val="nil"/>
              <w:right w:val="nil"/>
            </w:tcBorders>
          </w:tcPr>
          <w:p w14:paraId="7E3BB7DB" w14:textId="10F2773E" w:rsidR="00B70C17" w:rsidRPr="00EF3A5D" w:rsidRDefault="00947136" w:rsidP="00851DDF">
            <w:pPr>
              <w:spacing w:line="360" w:lineRule="auto"/>
              <w:jc w:val="center"/>
              <w:rPr>
                <w:rFonts w:asciiTheme="majorHAnsi" w:hAnsiTheme="majorHAnsi" w:cs="Times New Roman"/>
                <w:b/>
                <w:sz w:val="22"/>
                <w:szCs w:val="22"/>
              </w:rPr>
            </w:pPr>
            <w:r>
              <w:rPr>
                <w:rFonts w:asciiTheme="majorHAnsi" w:hAnsiTheme="majorHAnsi" w:cs="Times New Roman"/>
                <w:b/>
                <w:sz w:val="22"/>
                <w:szCs w:val="22"/>
              </w:rPr>
              <w:t>Συσχετίσεις</w:t>
            </w:r>
          </w:p>
        </w:tc>
      </w:tr>
      <w:tr w:rsidR="00B70C17" w:rsidRPr="00EF3A5D" w14:paraId="096AA015" w14:textId="77777777" w:rsidTr="004F7A36">
        <w:trPr>
          <w:trHeight w:val="71"/>
        </w:trPr>
        <w:tc>
          <w:tcPr>
            <w:tcW w:w="1912" w:type="dxa"/>
            <w:tcBorders>
              <w:top w:val="single" w:sz="4" w:space="0" w:color="auto"/>
              <w:left w:val="nil"/>
              <w:bottom w:val="nil"/>
              <w:right w:val="nil"/>
            </w:tcBorders>
          </w:tcPr>
          <w:p w14:paraId="022EF979" w14:textId="77777777" w:rsidR="00B70C17" w:rsidRPr="00EF3A5D" w:rsidRDefault="00B70C17" w:rsidP="00851DDF">
            <w:pPr>
              <w:spacing w:line="360" w:lineRule="auto"/>
              <w:rPr>
                <w:rFonts w:asciiTheme="majorHAnsi" w:hAnsiTheme="majorHAnsi" w:cs="Times New Roman"/>
                <w:sz w:val="22"/>
                <w:szCs w:val="22"/>
              </w:rPr>
            </w:pPr>
          </w:p>
        </w:tc>
        <w:tc>
          <w:tcPr>
            <w:tcW w:w="2449" w:type="dxa"/>
            <w:tcBorders>
              <w:top w:val="single" w:sz="4" w:space="0" w:color="auto"/>
              <w:left w:val="nil"/>
              <w:bottom w:val="nil"/>
              <w:right w:val="nil"/>
            </w:tcBorders>
          </w:tcPr>
          <w:p w14:paraId="5F2544D0" w14:textId="77777777" w:rsidR="00B70C17" w:rsidRPr="00EF3A5D" w:rsidRDefault="00B70C17" w:rsidP="00851DDF">
            <w:pPr>
              <w:spacing w:line="360" w:lineRule="auto"/>
              <w:rPr>
                <w:rFonts w:asciiTheme="majorHAnsi" w:hAnsiTheme="majorHAnsi" w:cs="Times New Roman"/>
                <w:sz w:val="22"/>
                <w:szCs w:val="22"/>
              </w:rPr>
            </w:pPr>
          </w:p>
        </w:tc>
        <w:tc>
          <w:tcPr>
            <w:tcW w:w="2551" w:type="dxa"/>
            <w:tcBorders>
              <w:top w:val="single" w:sz="4" w:space="0" w:color="auto"/>
              <w:left w:val="nil"/>
              <w:bottom w:val="nil"/>
              <w:right w:val="nil"/>
            </w:tcBorders>
          </w:tcPr>
          <w:p w14:paraId="33CDBFB3" w14:textId="77777777" w:rsidR="00B70C17" w:rsidRPr="00EF3A5D" w:rsidRDefault="00B70C17" w:rsidP="00851DDF">
            <w:pPr>
              <w:spacing w:line="360" w:lineRule="auto"/>
              <w:rPr>
                <w:rFonts w:asciiTheme="majorHAnsi" w:hAnsiTheme="majorHAnsi" w:cs="Times New Roman"/>
                <w:sz w:val="22"/>
                <w:szCs w:val="22"/>
              </w:rPr>
            </w:pPr>
          </w:p>
        </w:tc>
        <w:tc>
          <w:tcPr>
            <w:tcW w:w="1418" w:type="dxa"/>
            <w:tcBorders>
              <w:top w:val="single" w:sz="4" w:space="0" w:color="auto"/>
              <w:left w:val="nil"/>
              <w:bottom w:val="nil"/>
              <w:right w:val="nil"/>
            </w:tcBorders>
          </w:tcPr>
          <w:p w14:paraId="7740023A" w14:textId="3873842C" w:rsidR="00B70C17" w:rsidRPr="00EF3A5D" w:rsidRDefault="00947136" w:rsidP="00851DDF">
            <w:pPr>
              <w:spacing w:line="360" w:lineRule="auto"/>
              <w:jc w:val="center"/>
              <w:rPr>
                <w:rFonts w:asciiTheme="majorHAnsi" w:hAnsiTheme="majorHAnsi" w:cs="Times New Roman"/>
                <w:sz w:val="22"/>
                <w:szCs w:val="22"/>
              </w:rPr>
            </w:pPr>
            <w:r>
              <w:rPr>
                <w:rFonts w:asciiTheme="majorHAnsi" w:hAnsiTheme="majorHAnsi" w:cs="Times New Roman"/>
                <w:sz w:val="22"/>
                <w:szCs w:val="22"/>
              </w:rPr>
              <w:t>Οικονομική κατάσταση</w:t>
            </w:r>
          </w:p>
        </w:tc>
        <w:tc>
          <w:tcPr>
            <w:tcW w:w="1276" w:type="dxa"/>
            <w:tcBorders>
              <w:top w:val="single" w:sz="4" w:space="0" w:color="auto"/>
              <w:left w:val="nil"/>
              <w:bottom w:val="nil"/>
              <w:right w:val="nil"/>
            </w:tcBorders>
          </w:tcPr>
          <w:p w14:paraId="6DA260DB" w14:textId="6AACB793" w:rsidR="00B70C17" w:rsidRPr="00EF3A5D" w:rsidRDefault="00B70C17" w:rsidP="00947136">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 xml:space="preserve">M.O </w:t>
            </w:r>
            <w:r w:rsidR="00947136">
              <w:rPr>
                <w:rFonts w:asciiTheme="majorHAnsi" w:hAnsiTheme="majorHAnsi" w:cs="Times New Roman"/>
                <w:sz w:val="22"/>
                <w:szCs w:val="22"/>
              </w:rPr>
              <w:t>Εμπλοκής και μη Εμπλοκής</w:t>
            </w:r>
          </w:p>
        </w:tc>
      </w:tr>
      <w:tr w:rsidR="00B70C17" w:rsidRPr="00EF3A5D" w14:paraId="5740F2BE" w14:textId="77777777" w:rsidTr="004F7A36">
        <w:tc>
          <w:tcPr>
            <w:tcW w:w="1912" w:type="dxa"/>
            <w:tcBorders>
              <w:top w:val="nil"/>
              <w:left w:val="nil"/>
              <w:bottom w:val="nil"/>
              <w:right w:val="nil"/>
            </w:tcBorders>
          </w:tcPr>
          <w:p w14:paraId="5A8BF61B" w14:textId="77777777" w:rsidR="00B70C17" w:rsidRPr="00EF3A5D" w:rsidRDefault="00B70C17" w:rsidP="00851DDF">
            <w:pPr>
              <w:spacing w:line="360" w:lineRule="auto"/>
              <w:rPr>
                <w:rFonts w:asciiTheme="majorHAnsi" w:hAnsiTheme="majorHAnsi" w:cs="Times New Roman"/>
                <w:sz w:val="22"/>
                <w:szCs w:val="22"/>
              </w:rPr>
            </w:pPr>
            <w:r w:rsidRPr="00EF3A5D">
              <w:rPr>
                <w:rFonts w:asciiTheme="majorHAnsi" w:hAnsiTheme="majorHAnsi" w:cs="Times New Roman"/>
                <w:sz w:val="22"/>
                <w:szCs w:val="22"/>
              </w:rPr>
              <w:t>Spearman’s rho</w:t>
            </w:r>
          </w:p>
        </w:tc>
        <w:tc>
          <w:tcPr>
            <w:tcW w:w="2449" w:type="dxa"/>
            <w:tcBorders>
              <w:top w:val="nil"/>
              <w:left w:val="nil"/>
              <w:bottom w:val="nil"/>
              <w:right w:val="nil"/>
            </w:tcBorders>
          </w:tcPr>
          <w:p w14:paraId="466D57A7" w14:textId="6AA76E8D" w:rsidR="00B70C17" w:rsidRPr="00EF3A5D" w:rsidRDefault="00947136" w:rsidP="00851DDF">
            <w:pPr>
              <w:spacing w:line="360" w:lineRule="auto"/>
              <w:rPr>
                <w:rFonts w:asciiTheme="majorHAnsi" w:hAnsiTheme="majorHAnsi" w:cs="Times New Roman"/>
                <w:sz w:val="22"/>
                <w:szCs w:val="22"/>
              </w:rPr>
            </w:pPr>
            <w:r>
              <w:rPr>
                <w:rFonts w:asciiTheme="majorHAnsi" w:hAnsiTheme="majorHAnsi" w:cs="Times New Roman"/>
                <w:sz w:val="22"/>
                <w:szCs w:val="22"/>
              </w:rPr>
              <w:t>Οικονομική κατάσταση</w:t>
            </w:r>
          </w:p>
        </w:tc>
        <w:tc>
          <w:tcPr>
            <w:tcW w:w="2551" w:type="dxa"/>
            <w:tcBorders>
              <w:top w:val="nil"/>
              <w:left w:val="nil"/>
              <w:bottom w:val="nil"/>
              <w:right w:val="nil"/>
            </w:tcBorders>
          </w:tcPr>
          <w:p w14:paraId="6BC88672" w14:textId="2C5054DE" w:rsidR="00B70C17" w:rsidRPr="00EF3A5D" w:rsidRDefault="00947136" w:rsidP="00851DDF">
            <w:pPr>
              <w:spacing w:line="360" w:lineRule="auto"/>
              <w:rPr>
                <w:rFonts w:asciiTheme="majorHAnsi" w:hAnsiTheme="majorHAnsi" w:cs="Times New Roman"/>
                <w:sz w:val="22"/>
                <w:szCs w:val="22"/>
              </w:rPr>
            </w:pPr>
            <w:r>
              <w:rPr>
                <w:rFonts w:asciiTheme="majorHAnsi" w:hAnsiTheme="majorHAnsi" w:cs="Times New Roman"/>
                <w:sz w:val="22"/>
                <w:szCs w:val="22"/>
              </w:rPr>
              <w:t>Συντελεστής Συσχέτισης</w:t>
            </w:r>
          </w:p>
        </w:tc>
        <w:tc>
          <w:tcPr>
            <w:tcW w:w="1418" w:type="dxa"/>
            <w:tcBorders>
              <w:top w:val="nil"/>
              <w:left w:val="nil"/>
              <w:bottom w:val="nil"/>
              <w:right w:val="nil"/>
            </w:tcBorders>
          </w:tcPr>
          <w:p w14:paraId="06DAA905"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1,000</w:t>
            </w:r>
          </w:p>
        </w:tc>
        <w:tc>
          <w:tcPr>
            <w:tcW w:w="1276" w:type="dxa"/>
            <w:tcBorders>
              <w:top w:val="nil"/>
              <w:left w:val="nil"/>
              <w:bottom w:val="nil"/>
              <w:right w:val="nil"/>
            </w:tcBorders>
          </w:tcPr>
          <w:p w14:paraId="0D92E3FC"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,862**</w:t>
            </w:r>
          </w:p>
        </w:tc>
      </w:tr>
      <w:tr w:rsidR="00B70C17" w:rsidRPr="00EF3A5D" w14:paraId="2DC870A3" w14:textId="77777777" w:rsidTr="004F7A36">
        <w:tc>
          <w:tcPr>
            <w:tcW w:w="1912" w:type="dxa"/>
            <w:tcBorders>
              <w:top w:val="nil"/>
              <w:left w:val="nil"/>
              <w:bottom w:val="nil"/>
              <w:right w:val="nil"/>
            </w:tcBorders>
          </w:tcPr>
          <w:p w14:paraId="71AD45B4" w14:textId="77777777" w:rsidR="00B70C17" w:rsidRPr="00EF3A5D" w:rsidRDefault="00B70C17" w:rsidP="00851DDF">
            <w:pPr>
              <w:spacing w:line="360" w:lineRule="auto"/>
              <w:rPr>
                <w:rFonts w:asciiTheme="majorHAnsi" w:hAnsiTheme="majorHAnsi" w:cs="Times New Roman"/>
                <w:sz w:val="22"/>
                <w:szCs w:val="22"/>
              </w:rPr>
            </w:pPr>
          </w:p>
        </w:tc>
        <w:tc>
          <w:tcPr>
            <w:tcW w:w="2449" w:type="dxa"/>
            <w:tcBorders>
              <w:top w:val="nil"/>
              <w:left w:val="nil"/>
              <w:bottom w:val="nil"/>
              <w:right w:val="nil"/>
            </w:tcBorders>
          </w:tcPr>
          <w:p w14:paraId="1F57ECB3" w14:textId="77777777" w:rsidR="00B70C17" w:rsidRPr="00EF3A5D" w:rsidRDefault="00B70C17" w:rsidP="00851DDF">
            <w:pPr>
              <w:spacing w:line="360" w:lineRule="auto"/>
              <w:rPr>
                <w:rFonts w:asciiTheme="majorHAnsi" w:hAnsiTheme="majorHAnsi" w:cs="Times New Roman"/>
                <w:sz w:val="22"/>
                <w:szCs w:val="22"/>
              </w:rPr>
            </w:pPr>
          </w:p>
        </w:tc>
        <w:tc>
          <w:tcPr>
            <w:tcW w:w="2551" w:type="dxa"/>
            <w:tcBorders>
              <w:top w:val="nil"/>
              <w:left w:val="nil"/>
              <w:bottom w:val="nil"/>
              <w:right w:val="nil"/>
            </w:tcBorders>
          </w:tcPr>
          <w:p w14:paraId="0B204E7F" w14:textId="77777777" w:rsidR="00B70C17" w:rsidRPr="00EF3A5D" w:rsidRDefault="00B70C17" w:rsidP="00851DDF">
            <w:pPr>
              <w:spacing w:line="360" w:lineRule="auto"/>
              <w:rPr>
                <w:rFonts w:asciiTheme="majorHAnsi" w:hAnsiTheme="majorHAnsi" w:cs="Times New Roman"/>
                <w:sz w:val="22"/>
                <w:szCs w:val="22"/>
              </w:rPr>
            </w:pPr>
            <w:r w:rsidRPr="00EF3A5D">
              <w:rPr>
                <w:rFonts w:asciiTheme="majorHAnsi" w:hAnsiTheme="majorHAnsi" w:cs="Times New Roman"/>
                <w:sz w:val="22"/>
                <w:szCs w:val="22"/>
              </w:rPr>
              <w:t>Sig. (2-tailed)</w:t>
            </w:r>
          </w:p>
        </w:tc>
        <w:tc>
          <w:tcPr>
            <w:tcW w:w="1418" w:type="dxa"/>
            <w:tcBorders>
              <w:top w:val="nil"/>
              <w:left w:val="nil"/>
              <w:bottom w:val="nil"/>
              <w:right w:val="nil"/>
            </w:tcBorders>
          </w:tcPr>
          <w:p w14:paraId="71700BD7"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w:t>
            </w:r>
          </w:p>
        </w:tc>
        <w:tc>
          <w:tcPr>
            <w:tcW w:w="1276" w:type="dxa"/>
            <w:tcBorders>
              <w:top w:val="nil"/>
              <w:left w:val="nil"/>
              <w:bottom w:val="nil"/>
              <w:right w:val="nil"/>
            </w:tcBorders>
          </w:tcPr>
          <w:p w14:paraId="72832FAA"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,000</w:t>
            </w:r>
          </w:p>
        </w:tc>
      </w:tr>
      <w:tr w:rsidR="00B70C17" w:rsidRPr="00EF3A5D" w14:paraId="54C79EAE" w14:textId="77777777" w:rsidTr="004F7A36">
        <w:tc>
          <w:tcPr>
            <w:tcW w:w="1912" w:type="dxa"/>
            <w:tcBorders>
              <w:top w:val="nil"/>
              <w:left w:val="nil"/>
              <w:bottom w:val="nil"/>
              <w:right w:val="nil"/>
            </w:tcBorders>
          </w:tcPr>
          <w:p w14:paraId="7D95FBFF" w14:textId="77777777" w:rsidR="00B70C17" w:rsidRPr="00EF3A5D" w:rsidRDefault="00B70C17" w:rsidP="00851DDF">
            <w:pPr>
              <w:spacing w:line="360" w:lineRule="auto"/>
              <w:rPr>
                <w:rFonts w:asciiTheme="majorHAnsi" w:hAnsiTheme="majorHAnsi" w:cs="Times New Roman"/>
                <w:sz w:val="22"/>
                <w:szCs w:val="22"/>
              </w:rPr>
            </w:pPr>
          </w:p>
        </w:tc>
        <w:tc>
          <w:tcPr>
            <w:tcW w:w="2449" w:type="dxa"/>
            <w:tcBorders>
              <w:top w:val="nil"/>
              <w:left w:val="nil"/>
              <w:bottom w:val="nil"/>
              <w:right w:val="nil"/>
            </w:tcBorders>
          </w:tcPr>
          <w:p w14:paraId="7DF15D38" w14:textId="77777777" w:rsidR="00B70C17" w:rsidRPr="00EF3A5D" w:rsidRDefault="00B70C17" w:rsidP="00851DDF">
            <w:pPr>
              <w:spacing w:line="360" w:lineRule="auto"/>
              <w:rPr>
                <w:rFonts w:asciiTheme="majorHAnsi" w:hAnsiTheme="majorHAnsi" w:cs="Times New Roman"/>
                <w:sz w:val="22"/>
                <w:szCs w:val="22"/>
              </w:rPr>
            </w:pPr>
          </w:p>
        </w:tc>
        <w:tc>
          <w:tcPr>
            <w:tcW w:w="2551" w:type="dxa"/>
            <w:tcBorders>
              <w:top w:val="nil"/>
              <w:left w:val="nil"/>
              <w:bottom w:val="nil"/>
              <w:right w:val="nil"/>
            </w:tcBorders>
          </w:tcPr>
          <w:p w14:paraId="2F9229A7" w14:textId="77777777" w:rsidR="00B70C17" w:rsidRPr="00EF3A5D" w:rsidRDefault="00B70C17" w:rsidP="00851DDF">
            <w:pPr>
              <w:spacing w:line="360" w:lineRule="auto"/>
              <w:rPr>
                <w:rFonts w:asciiTheme="majorHAnsi" w:hAnsiTheme="majorHAnsi" w:cs="Times New Roman"/>
                <w:sz w:val="22"/>
                <w:szCs w:val="22"/>
              </w:rPr>
            </w:pPr>
            <w:r w:rsidRPr="00EF3A5D">
              <w:rPr>
                <w:rFonts w:asciiTheme="majorHAnsi" w:hAnsiTheme="majorHAnsi" w:cs="Times New Roman"/>
                <w:sz w:val="22"/>
                <w:szCs w:val="22"/>
              </w:rPr>
              <w:t>N</w:t>
            </w:r>
          </w:p>
        </w:tc>
        <w:tc>
          <w:tcPr>
            <w:tcW w:w="1418" w:type="dxa"/>
            <w:tcBorders>
              <w:top w:val="nil"/>
              <w:left w:val="nil"/>
              <w:bottom w:val="nil"/>
              <w:right w:val="nil"/>
            </w:tcBorders>
          </w:tcPr>
          <w:p w14:paraId="1554AC56"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22</w:t>
            </w:r>
          </w:p>
        </w:tc>
        <w:tc>
          <w:tcPr>
            <w:tcW w:w="1276" w:type="dxa"/>
            <w:tcBorders>
              <w:top w:val="nil"/>
              <w:left w:val="nil"/>
              <w:bottom w:val="nil"/>
              <w:right w:val="nil"/>
            </w:tcBorders>
          </w:tcPr>
          <w:p w14:paraId="6C640959"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22</w:t>
            </w:r>
          </w:p>
        </w:tc>
      </w:tr>
      <w:tr w:rsidR="00B70C17" w:rsidRPr="00EF3A5D" w14:paraId="15AB5205" w14:textId="77777777" w:rsidTr="004F7A36">
        <w:tc>
          <w:tcPr>
            <w:tcW w:w="1912" w:type="dxa"/>
            <w:tcBorders>
              <w:top w:val="nil"/>
              <w:left w:val="nil"/>
              <w:bottom w:val="nil"/>
              <w:right w:val="nil"/>
            </w:tcBorders>
          </w:tcPr>
          <w:p w14:paraId="091F6317" w14:textId="77777777" w:rsidR="00B70C17" w:rsidRPr="00EF3A5D" w:rsidRDefault="00B70C17" w:rsidP="00851DDF">
            <w:pPr>
              <w:spacing w:line="360" w:lineRule="auto"/>
              <w:rPr>
                <w:rFonts w:asciiTheme="majorHAnsi" w:hAnsiTheme="majorHAnsi" w:cs="Times New Roman"/>
                <w:sz w:val="22"/>
                <w:szCs w:val="22"/>
              </w:rPr>
            </w:pPr>
          </w:p>
        </w:tc>
        <w:tc>
          <w:tcPr>
            <w:tcW w:w="2449" w:type="dxa"/>
            <w:tcBorders>
              <w:top w:val="nil"/>
              <w:left w:val="nil"/>
              <w:bottom w:val="nil"/>
              <w:right w:val="nil"/>
            </w:tcBorders>
          </w:tcPr>
          <w:p w14:paraId="14290FB9" w14:textId="09A7BE09" w:rsidR="00B70C17" w:rsidRPr="00EF3A5D" w:rsidRDefault="00B70C17" w:rsidP="00947136">
            <w:pPr>
              <w:spacing w:line="360" w:lineRule="auto"/>
              <w:rPr>
                <w:rFonts w:asciiTheme="majorHAnsi" w:hAnsiTheme="majorHAnsi" w:cs="Times New Roman"/>
                <w:sz w:val="22"/>
                <w:szCs w:val="22"/>
              </w:rPr>
            </w:pPr>
            <w:r w:rsidRPr="00EF3A5D">
              <w:rPr>
                <w:rFonts w:asciiTheme="majorHAnsi" w:hAnsiTheme="majorHAnsi" w:cs="Times New Roman"/>
                <w:sz w:val="22"/>
                <w:szCs w:val="22"/>
              </w:rPr>
              <w:t xml:space="preserve">M.O </w:t>
            </w:r>
            <w:r w:rsidR="00947136">
              <w:rPr>
                <w:rFonts w:asciiTheme="majorHAnsi" w:hAnsiTheme="majorHAnsi" w:cs="Times New Roman"/>
                <w:sz w:val="22"/>
                <w:szCs w:val="22"/>
              </w:rPr>
              <w:t>Εμπλοκής και μη Εμπλοκής</w:t>
            </w:r>
          </w:p>
        </w:tc>
        <w:tc>
          <w:tcPr>
            <w:tcW w:w="2551" w:type="dxa"/>
            <w:tcBorders>
              <w:top w:val="nil"/>
              <w:left w:val="nil"/>
              <w:bottom w:val="nil"/>
              <w:right w:val="nil"/>
            </w:tcBorders>
          </w:tcPr>
          <w:p w14:paraId="064CDFB0" w14:textId="1CE0B853" w:rsidR="00B70C17" w:rsidRPr="00EF3A5D" w:rsidRDefault="00947136" w:rsidP="00851DDF">
            <w:pPr>
              <w:spacing w:line="360" w:lineRule="auto"/>
              <w:rPr>
                <w:rFonts w:asciiTheme="majorHAnsi" w:hAnsiTheme="majorHAnsi" w:cs="Times New Roman"/>
                <w:sz w:val="22"/>
                <w:szCs w:val="22"/>
              </w:rPr>
            </w:pPr>
            <w:r>
              <w:rPr>
                <w:rFonts w:asciiTheme="majorHAnsi" w:hAnsiTheme="majorHAnsi" w:cs="Times New Roman"/>
                <w:sz w:val="22"/>
                <w:szCs w:val="22"/>
              </w:rPr>
              <w:t>Συντελεστής Συσχέτισης</w:t>
            </w:r>
          </w:p>
        </w:tc>
        <w:tc>
          <w:tcPr>
            <w:tcW w:w="1418" w:type="dxa"/>
            <w:tcBorders>
              <w:top w:val="nil"/>
              <w:left w:val="nil"/>
              <w:bottom w:val="nil"/>
              <w:right w:val="nil"/>
            </w:tcBorders>
          </w:tcPr>
          <w:p w14:paraId="4E2E0E3F"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,862**</w:t>
            </w:r>
          </w:p>
        </w:tc>
        <w:tc>
          <w:tcPr>
            <w:tcW w:w="1276" w:type="dxa"/>
            <w:tcBorders>
              <w:top w:val="nil"/>
              <w:left w:val="nil"/>
              <w:bottom w:val="nil"/>
              <w:right w:val="nil"/>
            </w:tcBorders>
          </w:tcPr>
          <w:p w14:paraId="57E56046"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1,000</w:t>
            </w:r>
          </w:p>
        </w:tc>
      </w:tr>
      <w:tr w:rsidR="00B70C17" w:rsidRPr="00EF3A5D" w14:paraId="3D3C7533" w14:textId="77777777" w:rsidTr="004F7A36">
        <w:tc>
          <w:tcPr>
            <w:tcW w:w="1912" w:type="dxa"/>
            <w:tcBorders>
              <w:top w:val="nil"/>
              <w:left w:val="nil"/>
              <w:bottom w:val="nil"/>
              <w:right w:val="nil"/>
            </w:tcBorders>
          </w:tcPr>
          <w:p w14:paraId="68765591" w14:textId="77777777" w:rsidR="00B70C17" w:rsidRPr="00EF3A5D" w:rsidRDefault="00B70C17" w:rsidP="00851DDF">
            <w:pPr>
              <w:spacing w:line="360" w:lineRule="auto"/>
              <w:rPr>
                <w:rFonts w:asciiTheme="majorHAnsi" w:hAnsiTheme="majorHAnsi" w:cs="Times New Roman"/>
                <w:sz w:val="22"/>
                <w:szCs w:val="22"/>
              </w:rPr>
            </w:pPr>
          </w:p>
        </w:tc>
        <w:tc>
          <w:tcPr>
            <w:tcW w:w="2449" w:type="dxa"/>
            <w:tcBorders>
              <w:top w:val="nil"/>
              <w:left w:val="nil"/>
              <w:bottom w:val="nil"/>
              <w:right w:val="nil"/>
            </w:tcBorders>
          </w:tcPr>
          <w:p w14:paraId="1EBD8E05" w14:textId="77777777" w:rsidR="00B70C17" w:rsidRPr="00EF3A5D" w:rsidRDefault="00B70C17" w:rsidP="00851DDF">
            <w:pPr>
              <w:spacing w:line="360" w:lineRule="auto"/>
              <w:rPr>
                <w:rFonts w:asciiTheme="majorHAnsi" w:hAnsiTheme="majorHAnsi" w:cs="Times New Roman"/>
                <w:sz w:val="22"/>
                <w:szCs w:val="22"/>
              </w:rPr>
            </w:pPr>
          </w:p>
        </w:tc>
        <w:tc>
          <w:tcPr>
            <w:tcW w:w="2551" w:type="dxa"/>
            <w:tcBorders>
              <w:top w:val="nil"/>
              <w:left w:val="nil"/>
              <w:bottom w:val="nil"/>
              <w:right w:val="nil"/>
            </w:tcBorders>
          </w:tcPr>
          <w:p w14:paraId="68FE1055" w14:textId="77777777" w:rsidR="00B70C17" w:rsidRPr="00EF3A5D" w:rsidRDefault="00B70C17" w:rsidP="00851DDF">
            <w:pPr>
              <w:spacing w:line="360" w:lineRule="auto"/>
              <w:rPr>
                <w:rFonts w:asciiTheme="majorHAnsi" w:hAnsiTheme="majorHAnsi" w:cs="Times New Roman"/>
                <w:sz w:val="22"/>
                <w:szCs w:val="22"/>
              </w:rPr>
            </w:pPr>
            <w:r w:rsidRPr="00EF3A5D">
              <w:rPr>
                <w:rFonts w:asciiTheme="majorHAnsi" w:hAnsiTheme="majorHAnsi" w:cs="Times New Roman"/>
                <w:sz w:val="22"/>
                <w:szCs w:val="22"/>
              </w:rPr>
              <w:t>Sig. (2-tailed)</w:t>
            </w:r>
          </w:p>
        </w:tc>
        <w:tc>
          <w:tcPr>
            <w:tcW w:w="1418" w:type="dxa"/>
            <w:tcBorders>
              <w:top w:val="nil"/>
              <w:left w:val="nil"/>
              <w:bottom w:val="nil"/>
              <w:right w:val="nil"/>
            </w:tcBorders>
          </w:tcPr>
          <w:p w14:paraId="75C587C2"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,000</w:t>
            </w:r>
          </w:p>
        </w:tc>
        <w:tc>
          <w:tcPr>
            <w:tcW w:w="1276" w:type="dxa"/>
            <w:tcBorders>
              <w:top w:val="nil"/>
              <w:left w:val="nil"/>
              <w:bottom w:val="nil"/>
              <w:right w:val="nil"/>
            </w:tcBorders>
          </w:tcPr>
          <w:p w14:paraId="35F6197C"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w:t>
            </w:r>
          </w:p>
        </w:tc>
      </w:tr>
      <w:tr w:rsidR="00B70C17" w:rsidRPr="00EF3A5D" w14:paraId="7EF03B23" w14:textId="77777777" w:rsidTr="004F7A36">
        <w:tc>
          <w:tcPr>
            <w:tcW w:w="1912" w:type="dxa"/>
            <w:tcBorders>
              <w:top w:val="nil"/>
              <w:left w:val="nil"/>
              <w:bottom w:val="outset" w:sz="6" w:space="0" w:color="auto"/>
              <w:right w:val="nil"/>
            </w:tcBorders>
          </w:tcPr>
          <w:p w14:paraId="5369067C" w14:textId="77777777" w:rsidR="00B70C17" w:rsidRPr="00EF3A5D" w:rsidRDefault="00B70C17" w:rsidP="00851DDF">
            <w:pPr>
              <w:spacing w:line="360" w:lineRule="auto"/>
              <w:rPr>
                <w:rFonts w:asciiTheme="majorHAnsi" w:hAnsiTheme="majorHAnsi" w:cs="Times New Roman"/>
                <w:sz w:val="22"/>
                <w:szCs w:val="22"/>
              </w:rPr>
            </w:pPr>
          </w:p>
        </w:tc>
        <w:tc>
          <w:tcPr>
            <w:tcW w:w="2449" w:type="dxa"/>
            <w:tcBorders>
              <w:top w:val="nil"/>
              <w:left w:val="nil"/>
              <w:bottom w:val="outset" w:sz="6" w:space="0" w:color="auto"/>
              <w:right w:val="nil"/>
            </w:tcBorders>
          </w:tcPr>
          <w:p w14:paraId="7F2A9E88" w14:textId="77777777" w:rsidR="00B70C17" w:rsidRPr="00EF3A5D" w:rsidRDefault="00B70C17" w:rsidP="00851DDF">
            <w:pPr>
              <w:spacing w:line="360" w:lineRule="auto"/>
              <w:rPr>
                <w:rFonts w:asciiTheme="majorHAnsi" w:hAnsiTheme="majorHAnsi" w:cs="Times New Roman"/>
                <w:sz w:val="22"/>
                <w:szCs w:val="22"/>
              </w:rPr>
            </w:pPr>
          </w:p>
        </w:tc>
        <w:tc>
          <w:tcPr>
            <w:tcW w:w="2551" w:type="dxa"/>
            <w:tcBorders>
              <w:top w:val="nil"/>
              <w:left w:val="nil"/>
              <w:bottom w:val="outset" w:sz="6" w:space="0" w:color="auto"/>
              <w:right w:val="nil"/>
            </w:tcBorders>
          </w:tcPr>
          <w:p w14:paraId="2110BF4B" w14:textId="77777777" w:rsidR="00B70C17" w:rsidRPr="00EF3A5D" w:rsidRDefault="00B70C17" w:rsidP="00851DDF">
            <w:pPr>
              <w:spacing w:line="360" w:lineRule="auto"/>
              <w:rPr>
                <w:rFonts w:asciiTheme="majorHAnsi" w:hAnsiTheme="majorHAnsi" w:cs="Times New Roman"/>
                <w:sz w:val="22"/>
                <w:szCs w:val="22"/>
              </w:rPr>
            </w:pPr>
            <w:r w:rsidRPr="00EF3A5D">
              <w:rPr>
                <w:rFonts w:asciiTheme="majorHAnsi" w:hAnsiTheme="majorHAnsi" w:cs="Times New Roman"/>
                <w:sz w:val="22"/>
                <w:szCs w:val="22"/>
              </w:rPr>
              <w:t>N</w:t>
            </w:r>
          </w:p>
        </w:tc>
        <w:tc>
          <w:tcPr>
            <w:tcW w:w="1418" w:type="dxa"/>
            <w:tcBorders>
              <w:top w:val="nil"/>
              <w:left w:val="nil"/>
              <w:bottom w:val="outset" w:sz="6" w:space="0" w:color="auto"/>
              <w:right w:val="nil"/>
            </w:tcBorders>
          </w:tcPr>
          <w:p w14:paraId="1A876BB4"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22</w:t>
            </w:r>
          </w:p>
        </w:tc>
        <w:tc>
          <w:tcPr>
            <w:tcW w:w="1276" w:type="dxa"/>
            <w:tcBorders>
              <w:top w:val="nil"/>
              <w:left w:val="nil"/>
              <w:bottom w:val="outset" w:sz="6" w:space="0" w:color="auto"/>
              <w:right w:val="nil"/>
            </w:tcBorders>
          </w:tcPr>
          <w:p w14:paraId="583B887E" w14:textId="77777777" w:rsidR="00B70C17" w:rsidRPr="00EF3A5D" w:rsidRDefault="00B70C17" w:rsidP="00851DDF">
            <w:pPr>
              <w:spacing w:line="360" w:lineRule="auto"/>
              <w:jc w:val="center"/>
              <w:rPr>
                <w:rFonts w:asciiTheme="majorHAnsi" w:hAnsiTheme="majorHAnsi" w:cs="Times New Roman"/>
                <w:sz w:val="22"/>
                <w:szCs w:val="22"/>
              </w:rPr>
            </w:pPr>
            <w:r w:rsidRPr="00EF3A5D">
              <w:rPr>
                <w:rFonts w:asciiTheme="majorHAnsi" w:hAnsiTheme="majorHAnsi" w:cs="Times New Roman"/>
                <w:sz w:val="22"/>
                <w:szCs w:val="22"/>
              </w:rPr>
              <w:t>22</w:t>
            </w:r>
          </w:p>
        </w:tc>
      </w:tr>
      <w:tr w:rsidR="00B70C17" w:rsidRPr="00EF3A5D" w14:paraId="302C4DD0" w14:textId="77777777" w:rsidTr="00851DDF">
        <w:trPr>
          <w:trHeight w:val="318"/>
        </w:trPr>
        <w:tc>
          <w:tcPr>
            <w:tcW w:w="9606" w:type="dxa"/>
            <w:gridSpan w:val="5"/>
            <w:tcBorders>
              <w:top w:val="outset" w:sz="6" w:space="0" w:color="auto"/>
              <w:left w:val="nil"/>
              <w:bottom w:val="nil"/>
              <w:right w:val="nil"/>
            </w:tcBorders>
          </w:tcPr>
          <w:p w14:paraId="6119A719" w14:textId="694F77DF" w:rsidR="00B70C17" w:rsidRPr="00EF3A5D" w:rsidRDefault="00B70C17" w:rsidP="00026F5C">
            <w:pPr>
              <w:spacing w:beforeLines="240" w:before="576" w:line="360" w:lineRule="auto"/>
              <w:rPr>
                <w:rFonts w:asciiTheme="majorHAnsi" w:hAnsiTheme="majorHAnsi" w:cs="Times New Roman"/>
                <w:sz w:val="22"/>
                <w:szCs w:val="22"/>
              </w:rPr>
            </w:pPr>
            <w:r w:rsidRPr="00EF3A5D">
              <w:rPr>
                <w:rFonts w:asciiTheme="majorHAnsi" w:hAnsiTheme="majorHAnsi" w:cs="Times New Roman"/>
                <w:sz w:val="22"/>
                <w:szCs w:val="22"/>
              </w:rPr>
              <w:t xml:space="preserve">**. </w:t>
            </w:r>
            <w:r w:rsidR="00947136">
              <w:rPr>
                <w:rFonts w:asciiTheme="majorHAnsi" w:hAnsiTheme="majorHAnsi" w:cs="Times New Roman"/>
                <w:sz w:val="22"/>
                <w:szCs w:val="22"/>
              </w:rPr>
              <w:t>Η Συσχέτιση είναι σημαντική στο επίπεδο 0,01</w:t>
            </w:r>
            <w:r w:rsidRPr="00EF3A5D">
              <w:rPr>
                <w:rFonts w:asciiTheme="majorHAnsi" w:hAnsiTheme="majorHAnsi" w:cs="Times New Roman"/>
                <w:sz w:val="22"/>
                <w:szCs w:val="22"/>
              </w:rPr>
              <w:t xml:space="preserve"> (2-tailed).</w:t>
            </w:r>
          </w:p>
        </w:tc>
      </w:tr>
    </w:tbl>
    <w:p w14:paraId="423AC314" w14:textId="77777777" w:rsidR="00363168" w:rsidRPr="00E26A71" w:rsidRDefault="00363168" w:rsidP="00026F5C">
      <w:pPr>
        <w:spacing w:beforeLines="240" w:before="576"/>
        <w:ind w:firstLine="284"/>
        <w:rPr>
          <w:b/>
          <w:sz w:val="22"/>
          <w:szCs w:val="22"/>
          <w:lang w:val="el-GR"/>
        </w:rPr>
      </w:pPr>
      <w:r w:rsidRPr="00E26A71">
        <w:rPr>
          <w:b/>
          <w:sz w:val="22"/>
          <w:szCs w:val="22"/>
          <w:lang w:val="el-GR"/>
        </w:rPr>
        <w:t>Συμπεράσματα και Περιορισμοί</w:t>
      </w:r>
    </w:p>
    <w:p w14:paraId="21133774" w14:textId="794323DF" w:rsidR="002B5244" w:rsidRPr="00FE2D50" w:rsidRDefault="00363168" w:rsidP="002B5244">
      <w:pPr>
        <w:spacing w:beforeLines="240" w:before="576"/>
        <w:ind w:firstLine="284"/>
        <w:rPr>
          <w:i/>
          <w:sz w:val="22"/>
          <w:szCs w:val="22"/>
          <w:lang w:val="el-GR"/>
        </w:rPr>
      </w:pPr>
      <w:r w:rsidRPr="00E26A71">
        <w:rPr>
          <w:i/>
          <w:sz w:val="22"/>
          <w:szCs w:val="22"/>
          <w:lang w:val="el-GR"/>
        </w:rPr>
        <w:t>Συμπεράσματα</w:t>
      </w:r>
    </w:p>
    <w:p w14:paraId="03CD3F46" w14:textId="0F68AE38" w:rsidR="00FE2D50" w:rsidRPr="00FE2D50" w:rsidRDefault="00FE2D50" w:rsidP="00FE2D50">
      <w:pPr>
        <w:spacing w:before="100" w:beforeAutospacing="1" w:after="100" w:afterAutospacing="1"/>
        <w:ind w:firstLine="284"/>
        <w:contextualSpacing/>
        <w:jc w:val="both"/>
        <w:rPr>
          <w:rFonts w:asciiTheme="majorHAnsi" w:hAnsiTheme="majorHAnsi" w:cs="Times New Roman"/>
          <w:sz w:val="22"/>
          <w:szCs w:val="22"/>
        </w:rPr>
      </w:pPr>
      <w:r w:rsidRPr="00FE2D50">
        <w:rPr>
          <w:rFonts w:asciiTheme="majorHAnsi" w:eastAsia="Times New Roman" w:hAnsiTheme="majorHAnsi" w:cs="Times New Roman"/>
          <w:sz w:val="22"/>
          <w:szCs w:val="22"/>
        </w:rPr>
        <w:t xml:space="preserve">Η παρούσα έρευνα ανέδειξε τη σημασία του μορφωτικού και οικονομικού επιπέδου των μητέρων στη σχολική εκπαίδευση των παιδιών τους. Τα ευρήματα καταδεικνύουν ότι οι μητέρες με υψηλότερο μορφωτικό και οικονομικό επίπεδο συμμετέχουν ενεργά, παρέχοντας μεγαλύτερη υποστήριξη και ευκαιρίες μάθησης. </w:t>
      </w:r>
      <w:r w:rsidRPr="00FE2D50">
        <w:rPr>
          <w:rFonts w:asciiTheme="majorHAnsi" w:eastAsia="Times New Roman" w:hAnsiTheme="majorHAnsi" w:cs="Times New Roman"/>
          <w:sz w:val="22"/>
          <w:szCs w:val="22"/>
          <w:highlight w:val="red"/>
        </w:rPr>
        <w:t>Αντίθετα, οι μητέρες με περιορισμ</w:t>
      </w:r>
      <w:r w:rsidR="002B5244">
        <w:rPr>
          <w:rFonts w:asciiTheme="majorHAnsi" w:eastAsia="Times New Roman" w:hAnsiTheme="majorHAnsi" w:cs="Times New Roman"/>
          <w:sz w:val="22"/>
          <w:szCs w:val="22"/>
          <w:highlight w:val="red"/>
        </w:rPr>
        <w:t>ένους πόρους αντιμετωπίζουν πολλαπλά</w:t>
      </w:r>
      <w:r w:rsidRPr="00FE2D50">
        <w:rPr>
          <w:rFonts w:asciiTheme="majorHAnsi" w:eastAsia="Times New Roman" w:hAnsiTheme="majorHAnsi" w:cs="Times New Roman"/>
          <w:sz w:val="22"/>
          <w:szCs w:val="22"/>
          <w:highlight w:val="red"/>
        </w:rPr>
        <w:t xml:space="preserve"> εμπόδια, γεγονός που </w:t>
      </w:r>
      <w:r w:rsidR="006B4226">
        <w:rPr>
          <w:rFonts w:asciiTheme="majorHAnsi" w:eastAsia="Times New Roman" w:hAnsiTheme="majorHAnsi" w:cs="Times New Roman"/>
          <w:sz w:val="22"/>
          <w:szCs w:val="22"/>
          <w:highlight w:val="red"/>
        </w:rPr>
        <w:t>σχετίζετα</w:t>
      </w:r>
      <w:bookmarkStart w:id="0" w:name="_GoBack"/>
      <w:bookmarkEnd w:id="0"/>
      <w:r w:rsidRPr="00FE2D50">
        <w:rPr>
          <w:rFonts w:asciiTheme="majorHAnsi" w:eastAsia="Times New Roman" w:hAnsiTheme="majorHAnsi" w:cs="Times New Roman"/>
          <w:sz w:val="22"/>
          <w:szCs w:val="22"/>
          <w:highlight w:val="red"/>
        </w:rPr>
        <w:t>ι με τα συμπεράσματα των Auerbach &amp; Collier (2021). Επιπλέον, πρόσφατες διεθνείς έρευνες επιβεβαιώνουν την ανάγκη σχεδιασμού στρατηγικών που μειώνουν τις ανισότητες. Οι Chen &amp; Williams (2020) προτείνουν κοινοτικά δίκτυα υποστήριξης και προγράμματα ενίσχυσης δεξιοτήτων γονέων, ενώ οι Smith &amp; Brown (2021) τονίζουν την πολιτισμική ευαισθησία στις σχετικές παρεμβάσεις. Παράλλ</w:t>
      </w:r>
      <w:r>
        <w:rPr>
          <w:rFonts w:asciiTheme="majorHAnsi" w:eastAsia="Times New Roman" w:hAnsiTheme="majorHAnsi" w:cs="Times New Roman"/>
          <w:sz w:val="22"/>
          <w:szCs w:val="22"/>
          <w:highlight w:val="red"/>
        </w:rPr>
        <w:t>ηλα, οι Xiong et al. (2023</w:t>
      </w:r>
      <w:r w:rsidRPr="00FE2D50">
        <w:rPr>
          <w:rFonts w:asciiTheme="majorHAnsi" w:eastAsia="Times New Roman" w:hAnsiTheme="majorHAnsi" w:cs="Times New Roman"/>
          <w:sz w:val="22"/>
          <w:szCs w:val="22"/>
          <w:highlight w:val="red"/>
        </w:rPr>
        <w:t xml:space="preserve">) αναδεικνύουν την αποτελεσματικότητα των ψηφιακών εργαλείων επικοινωνίας, διευκολύνοντας τη συμμετοχή γονέων με περιορισμένο χρόνο. Τα ευρήματα της έρευνας υπογραμμίζουν την ανάγκη υιοθέτησης πολιτικών που ενισχύουν τη συνεργασία οικογένειας και σχολείου, ιδιαίτερα για τις μητέρες από χαμηλότερα κοινωνικοοικονομικά στρώματα. Η παροχή εκπαιδευτικών προγραμμάτων για γονείς, η δημιουργία κοινοτικών πόρων και η αξιοποίηση ψηφιακών εργαλείων αποτελούν βασικές στρατηγικές. Η εφαρμογή αυτών των πρακτικών, προσαρμοσμένων στις τοπικές ανάγκες, μπορεί να προάγει την ισότητα στην εκπαίδευση και να δημιουργήσει ευκαιρίες για όλα τα παιδιά </w:t>
      </w:r>
      <w:r w:rsidRPr="00FE2D50">
        <w:rPr>
          <w:rFonts w:asciiTheme="majorHAnsi" w:hAnsiTheme="majorHAnsi" w:cs="Times New Roman"/>
          <w:sz w:val="22"/>
          <w:szCs w:val="22"/>
          <w:highlight w:val="red"/>
          <w:lang w:val="el-GR"/>
        </w:rPr>
        <w:t>(</w:t>
      </w:r>
      <w:r w:rsidRPr="00FE2D50">
        <w:rPr>
          <w:rFonts w:asciiTheme="majorHAnsi" w:hAnsiTheme="majorHAnsi" w:cs="Times New Roman"/>
          <w:sz w:val="22"/>
          <w:szCs w:val="22"/>
          <w:highlight w:val="red"/>
        </w:rPr>
        <w:t xml:space="preserve">Chen, &amp; Williams, 2020). </w:t>
      </w:r>
      <w:r w:rsidRPr="00FE2D50">
        <w:rPr>
          <w:rFonts w:asciiTheme="majorHAnsi" w:eastAsia="Times New Roman" w:hAnsiTheme="majorHAnsi" w:cs="Times New Roman"/>
          <w:sz w:val="22"/>
          <w:szCs w:val="22"/>
          <w:highlight w:val="red"/>
        </w:rPr>
        <w:t>Συνολικά, η έρευνα συμβάλλει στη βαθύτερη κατανόηση των παραγόντων που επηρεάζουν τη συνεργασία σχολείου-οικογένειας και στην προώθηση πολιτικών που μειώνουν τα κοινωνικά και οικονομικά εμπόδια.</w:t>
      </w:r>
    </w:p>
    <w:p w14:paraId="16FD867F" w14:textId="77777777" w:rsidR="00FE2D50" w:rsidRDefault="00FE2D50" w:rsidP="00FE2D50">
      <w:pPr>
        <w:spacing w:beforeLines="1200" w:before="2880"/>
        <w:contextualSpacing/>
        <w:jc w:val="both"/>
        <w:rPr>
          <w:rFonts w:asciiTheme="majorHAnsi" w:hAnsiTheme="majorHAnsi" w:cs="Times New Roman"/>
          <w:sz w:val="22"/>
          <w:szCs w:val="22"/>
          <w:lang w:val="el-GR"/>
        </w:rPr>
      </w:pPr>
    </w:p>
    <w:p w14:paraId="171D709F" w14:textId="77777777" w:rsidR="00FE2D50" w:rsidRDefault="00FE2D50" w:rsidP="00575F33">
      <w:pPr>
        <w:spacing w:beforeLines="1200" w:before="2880"/>
        <w:ind w:firstLine="284"/>
        <w:contextualSpacing/>
        <w:jc w:val="both"/>
        <w:rPr>
          <w:rFonts w:asciiTheme="majorHAnsi" w:hAnsiTheme="majorHAnsi" w:cs="Times New Roman"/>
          <w:sz w:val="22"/>
          <w:szCs w:val="22"/>
          <w:lang w:val="el-GR"/>
        </w:rPr>
      </w:pPr>
    </w:p>
    <w:p w14:paraId="0D49C03C" w14:textId="77777777" w:rsidR="00363168" w:rsidRDefault="00363168" w:rsidP="00575F33">
      <w:pPr>
        <w:spacing w:beforeLines="1200" w:before="2880"/>
        <w:ind w:firstLine="284"/>
        <w:contextualSpacing/>
        <w:jc w:val="both"/>
        <w:rPr>
          <w:b/>
          <w:sz w:val="22"/>
          <w:szCs w:val="22"/>
          <w:lang w:val="el-GR"/>
        </w:rPr>
      </w:pPr>
      <w:r w:rsidRPr="00E26A71">
        <w:rPr>
          <w:b/>
          <w:sz w:val="22"/>
          <w:szCs w:val="22"/>
          <w:lang w:val="el-GR"/>
        </w:rPr>
        <w:t>Περιορισμοί</w:t>
      </w:r>
    </w:p>
    <w:p w14:paraId="4A5E6CB5" w14:textId="77777777" w:rsidR="00500AD4" w:rsidRPr="00A93C8C" w:rsidRDefault="00500AD4" w:rsidP="00575F33">
      <w:pPr>
        <w:spacing w:beforeLines="1200" w:before="2880"/>
        <w:ind w:firstLine="284"/>
        <w:contextualSpacing/>
        <w:jc w:val="both"/>
        <w:rPr>
          <w:rFonts w:asciiTheme="majorHAnsi" w:hAnsiTheme="majorHAnsi" w:cs="Times New Roman"/>
          <w:sz w:val="22"/>
          <w:szCs w:val="22"/>
          <w:lang w:val="el-GR"/>
        </w:rPr>
      </w:pPr>
    </w:p>
    <w:p w14:paraId="1DDC3AD1" w14:textId="1310E2D6" w:rsidR="00906BA4" w:rsidRPr="006A2D5B" w:rsidRDefault="00500AD4" w:rsidP="006A2D5B">
      <w:pPr>
        <w:ind w:firstLine="284"/>
        <w:jc w:val="both"/>
        <w:rPr>
          <w:rFonts w:asciiTheme="majorHAnsi" w:eastAsia="Times New Roman" w:hAnsiTheme="majorHAnsi" w:cs="Times New Roman"/>
          <w:sz w:val="22"/>
          <w:szCs w:val="22"/>
        </w:rPr>
      </w:pPr>
      <w:r w:rsidRPr="00500AD4">
        <w:rPr>
          <w:rFonts w:asciiTheme="majorHAnsi" w:eastAsia="Times New Roman" w:hAnsiTheme="majorHAnsi" w:cs="Times New Roman"/>
          <w:sz w:val="22"/>
          <w:szCs w:val="22"/>
        </w:rPr>
        <w:t xml:space="preserve">Η </w:t>
      </w:r>
      <w:r w:rsidRPr="009145CA">
        <w:rPr>
          <w:rFonts w:asciiTheme="majorHAnsi" w:eastAsia="Times New Roman" w:hAnsiTheme="majorHAnsi" w:cs="Times New Roman"/>
          <w:sz w:val="22"/>
          <w:szCs w:val="22"/>
          <w:highlight w:val="red"/>
        </w:rPr>
        <w:t>έρευνα περιορίζεται από την έλλειψη οικονομικών πόρων, που περιόρισε το δείγμα σε 22 μητέρες από την Καρδίτσα,</w:t>
      </w:r>
      <w:r w:rsidRPr="00500AD4">
        <w:rPr>
          <w:rFonts w:asciiTheme="majorHAnsi" w:eastAsia="Times New Roman" w:hAnsiTheme="majorHAnsi" w:cs="Times New Roman"/>
          <w:sz w:val="22"/>
          <w:szCs w:val="22"/>
        </w:rPr>
        <w:t xml:space="preserve"> </w:t>
      </w:r>
      <w:r w:rsidRPr="009145CA">
        <w:rPr>
          <w:rFonts w:asciiTheme="majorHAnsi" w:eastAsia="Times New Roman" w:hAnsiTheme="majorHAnsi" w:cs="Times New Roman"/>
          <w:sz w:val="22"/>
          <w:szCs w:val="22"/>
          <w:highlight w:val="red"/>
        </w:rPr>
        <w:t>μειώνοντας τη γενικευσιμότητα των ευρημάτων</w:t>
      </w:r>
      <w:r w:rsidRPr="00500AD4">
        <w:rPr>
          <w:rFonts w:asciiTheme="majorHAnsi" w:eastAsia="Times New Roman" w:hAnsiTheme="majorHAnsi" w:cs="Times New Roman"/>
          <w:sz w:val="22"/>
          <w:szCs w:val="22"/>
        </w:rPr>
        <w:t xml:space="preserve">. Η βολική δειγματοληψία μέσω προσωπικών επαφών ενδέχεται να εισήγαγε μεροληψία, ενώ το μικρό και μη τυχαίο δείγμα </w:t>
      </w:r>
      <w:r w:rsidRPr="009145CA">
        <w:rPr>
          <w:rFonts w:asciiTheme="majorHAnsi" w:eastAsia="Times New Roman" w:hAnsiTheme="majorHAnsi" w:cs="Times New Roman"/>
          <w:sz w:val="22"/>
          <w:szCs w:val="22"/>
          <w:highlight w:val="red"/>
        </w:rPr>
        <w:t>επηρεάζει την αξιοπιστία των αποτελεσμάτων.</w:t>
      </w:r>
    </w:p>
    <w:p w14:paraId="24C917B4" w14:textId="77777777" w:rsidR="00906BA4" w:rsidRDefault="00906BA4" w:rsidP="00E80023">
      <w:pPr>
        <w:rPr>
          <w:rFonts w:asciiTheme="majorHAnsi" w:hAnsiTheme="majorHAnsi"/>
          <w:sz w:val="22"/>
          <w:szCs w:val="22"/>
          <w:lang w:val="el-GR"/>
        </w:rPr>
      </w:pPr>
    </w:p>
    <w:p w14:paraId="6E1E0532" w14:textId="77777777" w:rsidR="006834DB" w:rsidRDefault="006834DB" w:rsidP="00E80023">
      <w:pPr>
        <w:rPr>
          <w:rFonts w:asciiTheme="majorHAnsi" w:hAnsiTheme="majorHAnsi"/>
          <w:sz w:val="22"/>
          <w:szCs w:val="22"/>
          <w:lang w:val="el-GR"/>
        </w:rPr>
      </w:pPr>
    </w:p>
    <w:p w14:paraId="2AC17FC3" w14:textId="77777777" w:rsidR="002B5244" w:rsidRDefault="002B5244" w:rsidP="00E80023">
      <w:pPr>
        <w:rPr>
          <w:rFonts w:asciiTheme="majorHAnsi" w:hAnsiTheme="majorHAnsi"/>
          <w:sz w:val="22"/>
          <w:szCs w:val="22"/>
          <w:lang w:val="el-GR"/>
        </w:rPr>
      </w:pPr>
    </w:p>
    <w:p w14:paraId="5C4F29D7" w14:textId="77777777" w:rsidR="002B5244" w:rsidRDefault="002B5244" w:rsidP="00E80023">
      <w:pPr>
        <w:rPr>
          <w:rFonts w:asciiTheme="majorHAnsi" w:hAnsiTheme="majorHAnsi"/>
          <w:sz w:val="22"/>
          <w:szCs w:val="22"/>
          <w:lang w:val="el-GR"/>
        </w:rPr>
      </w:pPr>
    </w:p>
    <w:p w14:paraId="6404FA50" w14:textId="77777777" w:rsidR="002B5244" w:rsidRDefault="002B5244" w:rsidP="00E80023">
      <w:pPr>
        <w:rPr>
          <w:rFonts w:asciiTheme="majorHAnsi" w:hAnsiTheme="majorHAnsi"/>
          <w:sz w:val="22"/>
          <w:szCs w:val="22"/>
          <w:lang w:val="el-GR"/>
        </w:rPr>
      </w:pPr>
    </w:p>
    <w:p w14:paraId="2E03CDC5" w14:textId="77777777" w:rsidR="002B5244" w:rsidRDefault="002B5244" w:rsidP="00E80023">
      <w:pPr>
        <w:rPr>
          <w:rFonts w:asciiTheme="majorHAnsi" w:hAnsiTheme="majorHAnsi"/>
          <w:sz w:val="22"/>
          <w:szCs w:val="22"/>
          <w:lang w:val="el-GR"/>
        </w:rPr>
      </w:pPr>
    </w:p>
    <w:p w14:paraId="62F9B7F6" w14:textId="77777777" w:rsidR="002B5244" w:rsidRPr="00E26A71" w:rsidRDefault="002B5244" w:rsidP="00E80023">
      <w:pPr>
        <w:rPr>
          <w:rFonts w:asciiTheme="majorHAnsi" w:hAnsiTheme="majorHAnsi"/>
          <w:sz w:val="22"/>
          <w:szCs w:val="22"/>
          <w:lang w:val="el-GR"/>
        </w:rPr>
      </w:pPr>
    </w:p>
    <w:p w14:paraId="20DAA76E" w14:textId="77777777" w:rsidR="00E45E05" w:rsidRPr="00E26A71" w:rsidRDefault="00827918" w:rsidP="00E45E05">
      <w:pPr>
        <w:ind w:firstLine="102"/>
        <w:rPr>
          <w:rFonts w:asciiTheme="majorHAnsi" w:hAnsiTheme="majorHAnsi"/>
          <w:sz w:val="22"/>
          <w:szCs w:val="22"/>
          <w:lang w:val="el-GR"/>
        </w:rPr>
      </w:pPr>
      <w:r w:rsidRPr="00E26A71">
        <w:rPr>
          <w:rFonts w:asciiTheme="majorHAnsi" w:hAnsiTheme="majorHAnsi"/>
          <w:sz w:val="22"/>
          <w:szCs w:val="22"/>
          <w:lang w:val="el-GR"/>
        </w:rPr>
        <w:lastRenderedPageBreak/>
        <w:t>Αναφορές</w:t>
      </w:r>
    </w:p>
    <w:p w14:paraId="7F55F209" w14:textId="77777777" w:rsidR="00E45E05" w:rsidRPr="00E26A71" w:rsidRDefault="00E45E05" w:rsidP="00E45E05">
      <w:pPr>
        <w:ind w:firstLine="102"/>
        <w:rPr>
          <w:rFonts w:asciiTheme="majorHAnsi" w:hAnsiTheme="majorHAnsi"/>
          <w:sz w:val="22"/>
          <w:szCs w:val="22"/>
          <w:lang w:val="el-GR"/>
        </w:rPr>
      </w:pPr>
    </w:p>
    <w:p w14:paraId="1F3343A0" w14:textId="77777777" w:rsidR="00993C8A" w:rsidRPr="00BF33CB" w:rsidRDefault="00993C8A" w:rsidP="00026893">
      <w:pPr>
        <w:ind w:left="284" w:firstLine="284"/>
        <w:contextualSpacing/>
        <w:jc w:val="both"/>
        <w:rPr>
          <w:rFonts w:asciiTheme="majorHAnsi" w:eastAsia="Times New Roman" w:hAnsiTheme="majorHAnsi" w:cs="Times New Roman"/>
          <w:color w:val="333333"/>
          <w:spacing w:val="4"/>
          <w:sz w:val="22"/>
          <w:szCs w:val="22"/>
          <w:shd w:val="clear" w:color="auto" w:fill="FCFCFC"/>
        </w:rPr>
      </w:pPr>
      <w:r w:rsidRPr="00BF33CB">
        <w:rPr>
          <w:rFonts w:asciiTheme="majorHAnsi" w:hAnsiTheme="majorHAnsi" w:cs="Times New Roman"/>
          <w:sz w:val="22"/>
          <w:szCs w:val="22"/>
        </w:rPr>
        <w:t>Al</w:t>
      </w:r>
      <w:r w:rsidRPr="001320FE">
        <w:rPr>
          <w:rFonts w:asciiTheme="majorHAnsi" w:hAnsiTheme="majorHAnsi" w:cs="Times New Roman"/>
          <w:sz w:val="22"/>
          <w:szCs w:val="22"/>
        </w:rPr>
        <w:t>-</w:t>
      </w:r>
      <w:r w:rsidRPr="00BF33CB">
        <w:rPr>
          <w:rFonts w:asciiTheme="majorHAnsi" w:hAnsiTheme="majorHAnsi" w:cs="Times New Roman"/>
          <w:sz w:val="22"/>
          <w:szCs w:val="22"/>
        </w:rPr>
        <w:t>deen</w:t>
      </w:r>
      <w:r w:rsidRPr="001320FE">
        <w:rPr>
          <w:rFonts w:asciiTheme="majorHAnsi" w:hAnsiTheme="majorHAnsi" w:cs="Times New Roman"/>
          <w:sz w:val="22"/>
          <w:szCs w:val="22"/>
        </w:rPr>
        <w:t xml:space="preserve">, </w:t>
      </w:r>
      <w:r w:rsidRPr="00BF33CB">
        <w:rPr>
          <w:rFonts w:asciiTheme="majorHAnsi" w:hAnsiTheme="majorHAnsi" w:cs="Times New Roman"/>
          <w:sz w:val="22"/>
          <w:szCs w:val="22"/>
        </w:rPr>
        <w:t>T</w:t>
      </w:r>
      <w:r w:rsidRPr="001320FE">
        <w:rPr>
          <w:rFonts w:asciiTheme="majorHAnsi" w:hAnsiTheme="majorHAnsi" w:cs="Times New Roman"/>
          <w:sz w:val="22"/>
          <w:szCs w:val="22"/>
        </w:rPr>
        <w:t xml:space="preserve">. </w:t>
      </w:r>
      <w:r w:rsidRPr="00BF33CB">
        <w:rPr>
          <w:rFonts w:asciiTheme="majorHAnsi" w:hAnsiTheme="majorHAnsi" w:cs="Times New Roman"/>
          <w:sz w:val="22"/>
          <w:szCs w:val="22"/>
        </w:rPr>
        <w:t>J</w:t>
      </w:r>
      <w:r w:rsidRPr="001320FE">
        <w:rPr>
          <w:rFonts w:asciiTheme="majorHAnsi" w:hAnsiTheme="majorHAnsi" w:cs="Times New Roman"/>
          <w:sz w:val="22"/>
          <w:szCs w:val="22"/>
        </w:rPr>
        <w:t xml:space="preserve">. (2019). </w:t>
      </w:r>
      <w:r w:rsidRPr="00BF33CB">
        <w:rPr>
          <w:rFonts w:asciiTheme="majorHAnsi" w:hAnsiTheme="majorHAnsi" w:cs="Times New Roman"/>
          <w:i/>
          <w:sz w:val="22"/>
          <w:szCs w:val="22"/>
        </w:rPr>
        <w:t xml:space="preserve">Motherhood, Education and Migration. Delving into Migrant Mothers’ Involvement in Children’s Education. </w:t>
      </w:r>
      <w:r w:rsidRPr="00BF33CB">
        <w:rPr>
          <w:rFonts w:asciiTheme="majorHAnsi" w:hAnsiTheme="majorHAnsi" w:cs="Times New Roman"/>
          <w:sz w:val="22"/>
          <w:szCs w:val="22"/>
        </w:rPr>
        <w:t xml:space="preserve">Singapore: Palgrave Macmillan. </w:t>
      </w:r>
    </w:p>
    <w:p w14:paraId="0CB60A73" w14:textId="77777777" w:rsidR="00772A2B" w:rsidRDefault="00E761A2" w:rsidP="00026893">
      <w:pPr>
        <w:ind w:left="284" w:firstLine="284"/>
        <w:contextualSpacing/>
        <w:jc w:val="both"/>
        <w:rPr>
          <w:rFonts w:asciiTheme="majorHAnsi" w:eastAsia="Times New Roman" w:hAnsiTheme="majorHAnsi"/>
          <w:sz w:val="22"/>
          <w:szCs w:val="22"/>
        </w:rPr>
      </w:pPr>
      <w:r w:rsidRPr="00BF33CB">
        <w:rPr>
          <w:rFonts w:asciiTheme="majorHAnsi" w:hAnsiTheme="majorHAnsi" w:cs="Times New Roman"/>
          <w:sz w:val="22"/>
          <w:szCs w:val="22"/>
        </w:rPr>
        <w:t xml:space="preserve">Auerbach, S., &amp; Collier, M. (2021). </w:t>
      </w:r>
      <w:r w:rsidRPr="00BF33CB">
        <w:rPr>
          <w:rFonts w:asciiTheme="majorHAnsi" w:hAnsiTheme="majorHAnsi" w:cs="Times New Roman"/>
          <w:iCs/>
          <w:sz w:val="22"/>
          <w:szCs w:val="22"/>
        </w:rPr>
        <w:t>The role of mothers' socioeconomic and educational status in children's elementary school success</w:t>
      </w:r>
      <w:r w:rsidRPr="00BF33CB">
        <w:rPr>
          <w:rFonts w:asciiTheme="majorHAnsi" w:hAnsiTheme="majorHAnsi" w:cs="Times New Roman"/>
          <w:sz w:val="22"/>
          <w:szCs w:val="22"/>
        </w:rPr>
        <w:t xml:space="preserve">. </w:t>
      </w:r>
      <w:r w:rsidRPr="00BF33CB">
        <w:rPr>
          <w:rFonts w:asciiTheme="majorHAnsi" w:hAnsiTheme="majorHAnsi" w:cs="Times New Roman"/>
          <w:bCs/>
          <w:i/>
          <w:sz w:val="22"/>
          <w:szCs w:val="22"/>
        </w:rPr>
        <w:t>Journal of Educational Studies</w:t>
      </w:r>
      <w:r w:rsidRPr="00BF33CB">
        <w:rPr>
          <w:rFonts w:asciiTheme="majorHAnsi" w:hAnsiTheme="majorHAnsi" w:cs="Times New Roman"/>
          <w:i/>
          <w:sz w:val="22"/>
          <w:szCs w:val="22"/>
        </w:rPr>
        <w:t>, 68</w:t>
      </w:r>
      <w:r w:rsidRPr="00BF33CB">
        <w:rPr>
          <w:rFonts w:asciiTheme="majorHAnsi" w:hAnsiTheme="majorHAnsi" w:cs="Times New Roman"/>
          <w:sz w:val="22"/>
          <w:szCs w:val="22"/>
        </w:rPr>
        <w:t xml:space="preserve">(2), 123-145. </w:t>
      </w:r>
      <w:r w:rsidR="0018305A">
        <w:rPr>
          <w:rFonts w:asciiTheme="majorHAnsi" w:hAnsiTheme="majorHAnsi" w:cs="Times New Roman"/>
          <w:sz w:val="22"/>
          <w:szCs w:val="22"/>
        </w:rPr>
        <w:t xml:space="preserve">Διαθέσιμο: </w:t>
      </w:r>
      <w:r w:rsidR="00772A2B" w:rsidRPr="00772A2B">
        <w:rPr>
          <w:rFonts w:asciiTheme="majorHAnsi" w:hAnsiTheme="majorHAnsi" w:cs="Times New Roman"/>
          <w:sz w:val="22"/>
          <w:szCs w:val="22"/>
        </w:rPr>
        <w:t>https://</w:t>
      </w:r>
      <w:r w:rsidR="006C477E">
        <w:fldChar w:fldCharType="begin"/>
      </w:r>
      <w:r w:rsidR="006C477E">
        <w:instrText xml:space="preserve"> HYPERLINK "http://dx.doi.org/10.54097/ehss.v8i.4461" \t "_blank" </w:instrText>
      </w:r>
      <w:r w:rsidR="006C477E">
        <w:fldChar w:fldCharType="separate"/>
      </w:r>
      <w:r w:rsidRPr="00772A2B">
        <w:rPr>
          <w:rStyle w:val="Hyperlink"/>
          <w:rFonts w:asciiTheme="majorHAnsi" w:eastAsia="Times New Roman" w:hAnsiTheme="majorHAnsi"/>
          <w:color w:val="auto"/>
          <w:sz w:val="22"/>
          <w:szCs w:val="22"/>
          <w:u w:val="none"/>
          <w:bdr w:val="none" w:sz="0" w:space="0" w:color="auto" w:frame="1"/>
          <w:shd w:val="clear" w:color="auto" w:fill="FFFFFF"/>
        </w:rPr>
        <w:t>10.54097/ehss.v8i.4461</w:t>
      </w:r>
      <w:r w:rsidR="006C477E">
        <w:rPr>
          <w:rStyle w:val="Hyperlink"/>
          <w:rFonts w:asciiTheme="majorHAnsi" w:eastAsia="Times New Roman" w:hAnsiTheme="majorHAnsi"/>
          <w:color w:val="auto"/>
          <w:sz w:val="22"/>
          <w:szCs w:val="22"/>
          <w:u w:val="none"/>
          <w:bdr w:val="none" w:sz="0" w:space="0" w:color="auto" w:frame="1"/>
          <w:shd w:val="clear" w:color="auto" w:fill="FFFFFF"/>
        </w:rPr>
        <w:fldChar w:fldCharType="end"/>
      </w:r>
      <w:r w:rsidR="0018305A">
        <w:rPr>
          <w:rFonts w:asciiTheme="majorHAnsi" w:eastAsia="Times New Roman" w:hAnsiTheme="majorHAnsi"/>
          <w:sz w:val="22"/>
          <w:szCs w:val="22"/>
        </w:rPr>
        <w:t>, προσπελά</w:t>
      </w:r>
      <w:r w:rsidR="00A47367">
        <w:rPr>
          <w:rFonts w:asciiTheme="majorHAnsi" w:eastAsia="Times New Roman" w:hAnsiTheme="majorHAnsi"/>
          <w:sz w:val="22"/>
          <w:szCs w:val="22"/>
        </w:rPr>
        <w:t>στηκε στις 22/12/2024</w:t>
      </w:r>
      <w:r w:rsidR="0018305A">
        <w:rPr>
          <w:rFonts w:asciiTheme="majorHAnsi" w:eastAsia="Times New Roman" w:hAnsiTheme="majorHAnsi"/>
          <w:sz w:val="22"/>
          <w:szCs w:val="22"/>
        </w:rPr>
        <w:t>.</w:t>
      </w:r>
    </w:p>
    <w:p w14:paraId="3EBB8F88" w14:textId="77777777" w:rsidR="00772A2B" w:rsidRDefault="00993C8A" w:rsidP="00026893">
      <w:pPr>
        <w:ind w:left="284" w:firstLine="284"/>
        <w:contextualSpacing/>
        <w:jc w:val="both"/>
        <w:rPr>
          <w:rFonts w:asciiTheme="majorHAnsi" w:eastAsia="Times New Roman" w:hAnsiTheme="majorHAnsi"/>
          <w:sz w:val="22"/>
          <w:szCs w:val="22"/>
        </w:rPr>
      </w:pPr>
      <w:r w:rsidRPr="00BF33CB">
        <w:rPr>
          <w:rFonts w:asciiTheme="majorHAnsi" w:hAnsiTheme="majorHAnsi" w:cs="Times New Roman"/>
          <w:sz w:val="22"/>
          <w:szCs w:val="22"/>
        </w:rPr>
        <w:t xml:space="preserve">Augustine, J. M., &amp; Negraia, D. V. (2018). Can Increased Educational Attainment Among Lower-Educates Mothers </w:t>
      </w:r>
      <w:r w:rsidRPr="00772A2B">
        <w:rPr>
          <w:rFonts w:asciiTheme="majorHAnsi" w:hAnsiTheme="majorHAnsi" w:cs="Times New Roman"/>
          <w:sz w:val="22"/>
          <w:szCs w:val="22"/>
        </w:rPr>
        <w:t xml:space="preserve">Reduce Inequalities in Children’s Skill Development? </w:t>
      </w:r>
      <w:r w:rsidRPr="00772A2B">
        <w:rPr>
          <w:rFonts w:asciiTheme="majorHAnsi" w:hAnsiTheme="majorHAnsi" w:cs="Times New Roman"/>
          <w:i/>
          <w:sz w:val="22"/>
          <w:szCs w:val="22"/>
        </w:rPr>
        <w:t>Demography, 55</w:t>
      </w:r>
      <w:r w:rsidRPr="00772A2B">
        <w:rPr>
          <w:rFonts w:asciiTheme="majorHAnsi" w:hAnsiTheme="majorHAnsi" w:cs="Times New Roman"/>
          <w:sz w:val="22"/>
          <w:szCs w:val="22"/>
        </w:rPr>
        <w:t>, 59-82.</w:t>
      </w:r>
      <w:r w:rsidR="00A47367">
        <w:rPr>
          <w:rFonts w:asciiTheme="majorHAnsi" w:hAnsiTheme="majorHAnsi" w:cs="Times New Roman"/>
          <w:sz w:val="22"/>
          <w:szCs w:val="22"/>
        </w:rPr>
        <w:t xml:space="preserve"> ΔΙαθέσιμο:</w:t>
      </w:r>
      <w:r w:rsidRPr="00772A2B">
        <w:rPr>
          <w:rFonts w:asciiTheme="majorHAnsi" w:hAnsiTheme="majorHAnsi" w:cs="Times New Roman"/>
          <w:sz w:val="22"/>
          <w:szCs w:val="22"/>
        </w:rPr>
        <w:t xml:space="preserve"> </w:t>
      </w:r>
      <w:r w:rsidR="00772A2B" w:rsidRPr="00772A2B">
        <w:rPr>
          <w:rFonts w:asciiTheme="majorHAnsi" w:hAnsiTheme="majorHAnsi" w:cs="Times New Roman"/>
          <w:sz w:val="22"/>
          <w:szCs w:val="22"/>
        </w:rPr>
        <w:t>https://</w:t>
      </w:r>
      <w:r w:rsidR="006C477E">
        <w:fldChar w:fldCharType="begin"/>
      </w:r>
      <w:r w:rsidR="006C477E">
        <w:instrText xml:space="preserve"> HYPERLINK "https://doi.org/10.1007/s13524-017-0637-4" \t "_blank" </w:instrText>
      </w:r>
      <w:r w:rsidR="006C477E">
        <w:fldChar w:fldCharType="separate"/>
      </w:r>
      <w:r w:rsidR="00772A2B" w:rsidRPr="00772A2B">
        <w:rPr>
          <w:rStyle w:val="Hyperlink"/>
          <w:rFonts w:asciiTheme="majorHAnsi" w:eastAsia="Times New Roman" w:hAnsiTheme="majorHAnsi" w:cs="Segoe UI"/>
          <w:color w:val="auto"/>
          <w:sz w:val="22"/>
          <w:szCs w:val="22"/>
          <w:u w:val="none"/>
        </w:rPr>
        <w:t>10.1007/s13524-017-0637-4</w:t>
      </w:r>
      <w:r w:rsidR="006C477E">
        <w:rPr>
          <w:rStyle w:val="Hyperlink"/>
          <w:rFonts w:asciiTheme="majorHAnsi" w:eastAsia="Times New Roman" w:hAnsiTheme="majorHAnsi" w:cs="Segoe UI"/>
          <w:color w:val="auto"/>
          <w:sz w:val="22"/>
          <w:szCs w:val="22"/>
          <w:u w:val="none"/>
        </w:rPr>
        <w:fldChar w:fldCharType="end"/>
      </w:r>
      <w:r w:rsidR="00A47367">
        <w:rPr>
          <w:rStyle w:val="identifier"/>
          <w:rFonts w:asciiTheme="majorHAnsi" w:eastAsia="Times New Roman" w:hAnsiTheme="majorHAnsi" w:cs="Segoe UI"/>
          <w:sz w:val="22"/>
          <w:szCs w:val="22"/>
        </w:rPr>
        <w:t>, προσπελάστηκε στις 22/12/2024.</w:t>
      </w:r>
    </w:p>
    <w:p w14:paraId="3C7E1F43" w14:textId="77777777" w:rsidR="00640760" w:rsidRPr="00535EA1" w:rsidRDefault="00E761A2" w:rsidP="00026893">
      <w:pPr>
        <w:ind w:left="284" w:firstLine="284"/>
        <w:contextualSpacing/>
        <w:jc w:val="both"/>
        <w:rPr>
          <w:rFonts w:asciiTheme="majorHAnsi" w:eastAsia="Times New Roman" w:hAnsiTheme="majorHAnsi"/>
          <w:sz w:val="22"/>
          <w:szCs w:val="22"/>
        </w:rPr>
      </w:pPr>
      <w:r w:rsidRPr="00772A2B">
        <w:rPr>
          <w:rFonts w:asciiTheme="majorHAnsi" w:eastAsia="Times New Roman" w:hAnsiTheme="majorHAnsi" w:cs="Times New Roman"/>
          <w:bCs/>
          <w:sz w:val="22"/>
          <w:szCs w:val="22"/>
        </w:rPr>
        <w:t xml:space="preserve">Bakker, J., </w:t>
      </w:r>
      <w:r w:rsidRPr="00535EA1">
        <w:rPr>
          <w:rFonts w:asciiTheme="majorHAnsi" w:eastAsia="Times New Roman" w:hAnsiTheme="majorHAnsi" w:cs="Times New Roman"/>
          <w:bCs/>
          <w:sz w:val="22"/>
          <w:szCs w:val="22"/>
        </w:rPr>
        <w:t>Denessen, E., &amp; Brus-Laeven, M. (2007).</w:t>
      </w:r>
      <w:r w:rsidRPr="00535EA1">
        <w:rPr>
          <w:rFonts w:asciiTheme="majorHAnsi" w:eastAsia="Times New Roman" w:hAnsiTheme="majorHAnsi" w:cs="Times New Roman"/>
          <w:sz w:val="22"/>
          <w:szCs w:val="22"/>
        </w:rPr>
        <w:t xml:space="preserve"> Socio-economic background, parental involvement and teacher perceptions of these in relation to pupil achievement. </w:t>
      </w:r>
      <w:r w:rsidRPr="00535EA1">
        <w:rPr>
          <w:rFonts w:asciiTheme="majorHAnsi" w:eastAsia="Times New Roman" w:hAnsiTheme="majorHAnsi" w:cs="Times New Roman"/>
          <w:i/>
          <w:iCs/>
          <w:sz w:val="22"/>
          <w:szCs w:val="22"/>
        </w:rPr>
        <w:t>Educational Studies, 33</w:t>
      </w:r>
      <w:r w:rsidRPr="00535EA1">
        <w:rPr>
          <w:rFonts w:asciiTheme="majorHAnsi" w:eastAsia="Times New Roman" w:hAnsiTheme="majorHAnsi" w:cs="Times New Roman"/>
          <w:sz w:val="22"/>
          <w:szCs w:val="22"/>
        </w:rPr>
        <w:t>(2), 177–192.</w:t>
      </w:r>
      <w:r w:rsidR="00142330" w:rsidRPr="00535EA1">
        <w:rPr>
          <w:rFonts w:asciiTheme="majorHAnsi" w:eastAsia="Times New Roman" w:hAnsiTheme="majorHAnsi" w:cs="Times New Roman"/>
          <w:sz w:val="22"/>
          <w:szCs w:val="22"/>
        </w:rPr>
        <w:t xml:space="preserve"> </w:t>
      </w:r>
      <w:r w:rsidR="00E934E0" w:rsidRPr="00535EA1">
        <w:rPr>
          <w:rFonts w:asciiTheme="majorHAnsi" w:eastAsia="Times New Roman" w:hAnsiTheme="majorHAnsi" w:cs="Times New Roman"/>
          <w:sz w:val="22"/>
          <w:szCs w:val="22"/>
          <w:lang w:val="el-GR"/>
        </w:rPr>
        <w:t>Δι</w:t>
      </w:r>
      <w:r w:rsidR="00142330" w:rsidRPr="00535EA1">
        <w:rPr>
          <w:rFonts w:asciiTheme="majorHAnsi" w:eastAsia="Times New Roman" w:hAnsiTheme="majorHAnsi" w:cs="Times New Roman"/>
          <w:sz w:val="22"/>
          <w:szCs w:val="22"/>
          <w:lang w:val="el-GR"/>
        </w:rPr>
        <w:t>αθέσιμο</w:t>
      </w:r>
      <w:r w:rsidR="00142330" w:rsidRPr="00E26A71">
        <w:rPr>
          <w:rFonts w:asciiTheme="majorHAnsi" w:eastAsia="Times New Roman" w:hAnsiTheme="majorHAnsi" w:cs="Times New Roman"/>
          <w:sz w:val="22"/>
          <w:szCs w:val="22"/>
        </w:rPr>
        <w:t>:</w:t>
      </w:r>
      <w:r w:rsidR="00772A2B" w:rsidRPr="00535EA1">
        <w:rPr>
          <w:rFonts w:asciiTheme="majorHAnsi" w:eastAsia="Times New Roman" w:hAnsiTheme="majorHAnsi"/>
          <w:sz w:val="22"/>
          <w:szCs w:val="22"/>
        </w:rPr>
        <w:t xml:space="preserve"> </w:t>
      </w:r>
      <w:hyperlink r:id="rId9" w:history="1">
        <w:r w:rsidR="00772A2B" w:rsidRPr="00535EA1">
          <w:rPr>
            <w:rStyle w:val="Hyperlink"/>
            <w:rFonts w:asciiTheme="majorHAnsi" w:eastAsia="Times New Roman" w:hAnsiTheme="majorHAnsi"/>
            <w:color w:val="auto"/>
            <w:sz w:val="22"/>
            <w:szCs w:val="22"/>
            <w:u w:val="none"/>
          </w:rPr>
          <w:t>https://doi.org/10.1080/03055690601068345</w:t>
        </w:r>
      </w:hyperlink>
      <w:r w:rsidR="00142330" w:rsidRPr="00535EA1">
        <w:rPr>
          <w:rFonts w:asciiTheme="majorHAnsi" w:eastAsia="Times New Roman" w:hAnsiTheme="majorHAnsi"/>
          <w:sz w:val="22"/>
          <w:szCs w:val="22"/>
        </w:rPr>
        <w:t>, προσπελά</w:t>
      </w:r>
      <w:r w:rsidR="00A47367" w:rsidRPr="00535EA1">
        <w:rPr>
          <w:rFonts w:asciiTheme="majorHAnsi" w:eastAsia="Times New Roman" w:hAnsiTheme="majorHAnsi"/>
          <w:sz w:val="22"/>
          <w:szCs w:val="22"/>
        </w:rPr>
        <w:t>στηκε στις 22/12/2024</w:t>
      </w:r>
      <w:r w:rsidR="00142330" w:rsidRPr="00535EA1">
        <w:rPr>
          <w:rFonts w:asciiTheme="majorHAnsi" w:eastAsia="Times New Roman" w:hAnsiTheme="majorHAnsi"/>
          <w:sz w:val="22"/>
          <w:szCs w:val="22"/>
        </w:rPr>
        <w:t>.</w:t>
      </w:r>
    </w:p>
    <w:p w14:paraId="4D82126C" w14:textId="77777777" w:rsidR="00772A2B" w:rsidRPr="00640760" w:rsidRDefault="00E761A2" w:rsidP="00026893">
      <w:pPr>
        <w:ind w:left="284" w:firstLine="284"/>
        <w:contextualSpacing/>
        <w:jc w:val="both"/>
        <w:rPr>
          <w:rFonts w:asciiTheme="majorHAnsi" w:eastAsia="Times New Roman" w:hAnsiTheme="majorHAnsi"/>
          <w:sz w:val="22"/>
          <w:szCs w:val="22"/>
        </w:rPr>
      </w:pPr>
      <w:r w:rsidRPr="00535EA1">
        <w:rPr>
          <w:rFonts w:asciiTheme="majorHAnsi" w:hAnsiTheme="majorHAnsi" w:cs="Times New Roman"/>
          <w:sz w:val="22"/>
          <w:szCs w:val="22"/>
        </w:rPr>
        <w:t>Brown, L., &amp; Smith, J. (2022</w:t>
      </w:r>
      <w:r w:rsidRPr="00772A2B">
        <w:rPr>
          <w:rFonts w:asciiTheme="majorHAnsi" w:hAnsiTheme="majorHAnsi" w:cs="Times New Roman"/>
          <w:sz w:val="22"/>
          <w:szCs w:val="22"/>
        </w:rPr>
        <w:t xml:space="preserve">). </w:t>
      </w:r>
      <w:r w:rsidRPr="00772A2B">
        <w:rPr>
          <w:rFonts w:asciiTheme="majorHAnsi" w:hAnsiTheme="majorHAnsi" w:cs="Times New Roman"/>
          <w:iCs/>
          <w:sz w:val="22"/>
          <w:szCs w:val="22"/>
        </w:rPr>
        <w:t>Socioeconomic factors and maternal involvement in early childhood education</w:t>
      </w:r>
      <w:r w:rsidRPr="00772A2B">
        <w:rPr>
          <w:rFonts w:asciiTheme="majorHAnsi" w:hAnsiTheme="majorHAnsi" w:cs="Times New Roman"/>
          <w:sz w:val="22"/>
          <w:szCs w:val="22"/>
        </w:rPr>
        <w:t xml:space="preserve">. </w:t>
      </w:r>
      <w:r w:rsidRPr="00772A2B">
        <w:rPr>
          <w:rFonts w:asciiTheme="majorHAnsi" w:hAnsiTheme="majorHAnsi" w:cs="Times New Roman"/>
          <w:bCs/>
          <w:i/>
          <w:sz w:val="22"/>
          <w:szCs w:val="22"/>
        </w:rPr>
        <w:t>Early Childhood Research</w:t>
      </w:r>
      <w:r w:rsidR="00772A2B">
        <w:rPr>
          <w:rFonts w:asciiTheme="majorHAnsi" w:hAnsiTheme="majorHAnsi" w:cs="Times New Roman"/>
          <w:bCs/>
          <w:i/>
          <w:sz w:val="22"/>
          <w:szCs w:val="22"/>
        </w:rPr>
        <w:t xml:space="preserve"> </w:t>
      </w:r>
      <w:r w:rsidRPr="00BF33CB">
        <w:rPr>
          <w:rFonts w:asciiTheme="majorHAnsi" w:hAnsiTheme="majorHAnsi" w:cs="Times New Roman"/>
          <w:bCs/>
          <w:i/>
          <w:sz w:val="22"/>
          <w:szCs w:val="22"/>
        </w:rPr>
        <w:t>Quarterly</w:t>
      </w:r>
      <w:r w:rsidRPr="00BF33CB">
        <w:rPr>
          <w:rFonts w:asciiTheme="majorHAnsi" w:hAnsiTheme="majorHAnsi" w:cs="Times New Roman"/>
          <w:i/>
          <w:sz w:val="22"/>
          <w:szCs w:val="22"/>
        </w:rPr>
        <w:t>,</w:t>
      </w:r>
      <w:r w:rsidRPr="00BF33CB">
        <w:rPr>
          <w:rFonts w:asciiTheme="majorHAnsi" w:hAnsiTheme="majorHAnsi" w:cs="Times New Roman"/>
          <w:sz w:val="22"/>
          <w:szCs w:val="22"/>
        </w:rPr>
        <w:t xml:space="preserve"> 57, 89-102</w:t>
      </w:r>
      <w:r w:rsidR="00772A2B">
        <w:rPr>
          <w:rFonts w:asciiTheme="majorHAnsi" w:hAnsiTheme="majorHAnsi" w:cs="Times New Roman"/>
          <w:sz w:val="22"/>
          <w:szCs w:val="22"/>
        </w:rPr>
        <w:t>.</w:t>
      </w:r>
    </w:p>
    <w:p w14:paraId="1209A536" w14:textId="77777777" w:rsidR="00640760" w:rsidRPr="00640760" w:rsidRDefault="00993C8A" w:rsidP="00026893">
      <w:pPr>
        <w:ind w:left="284" w:firstLine="284"/>
        <w:contextualSpacing/>
        <w:jc w:val="both"/>
        <w:rPr>
          <w:rFonts w:asciiTheme="majorHAnsi" w:hAnsiTheme="majorHAnsi" w:cs="Times New Roman"/>
          <w:sz w:val="22"/>
          <w:szCs w:val="22"/>
        </w:rPr>
      </w:pPr>
      <w:r w:rsidRPr="00BF33CB">
        <w:rPr>
          <w:rFonts w:asciiTheme="majorHAnsi" w:hAnsiTheme="majorHAnsi"/>
          <w:sz w:val="22"/>
          <w:szCs w:val="22"/>
        </w:rPr>
        <w:t>Cetin</w:t>
      </w:r>
      <w:r w:rsidRPr="00640760">
        <w:rPr>
          <w:rFonts w:asciiTheme="majorHAnsi" w:hAnsiTheme="majorHAnsi"/>
          <w:sz w:val="22"/>
          <w:szCs w:val="22"/>
        </w:rPr>
        <w:t xml:space="preserve">, S. K., &amp; Taskin, P. (2016). Parental Involvement in Education in Terms of Their Socio-Economic Status. </w:t>
      </w:r>
      <w:r w:rsidRPr="00640760">
        <w:rPr>
          <w:rFonts w:asciiTheme="majorHAnsi" w:hAnsiTheme="majorHAnsi"/>
          <w:i/>
          <w:sz w:val="22"/>
          <w:szCs w:val="22"/>
        </w:rPr>
        <w:t xml:space="preserve">Eurasian Journal of Educational Research, </w:t>
      </w:r>
      <w:r w:rsidRPr="00640760">
        <w:rPr>
          <w:rFonts w:asciiTheme="majorHAnsi" w:hAnsiTheme="majorHAnsi"/>
          <w:sz w:val="22"/>
          <w:szCs w:val="22"/>
        </w:rPr>
        <w:t xml:space="preserve">66, 105-122. </w:t>
      </w:r>
      <w:r w:rsidR="006824CC">
        <w:rPr>
          <w:rFonts w:asciiTheme="majorHAnsi" w:hAnsiTheme="majorHAnsi"/>
          <w:sz w:val="22"/>
          <w:szCs w:val="22"/>
        </w:rPr>
        <w:t xml:space="preserve">ΔΙαθέσιμο: </w:t>
      </w:r>
      <w:hyperlink r:id="rId10" w:history="1">
        <w:r w:rsidR="00640760" w:rsidRPr="00640760">
          <w:rPr>
            <w:rStyle w:val="Hyperlink"/>
            <w:rFonts w:asciiTheme="majorHAnsi" w:eastAsia="Times New Roman" w:hAnsiTheme="majorHAnsi" w:cs="Times New Roman"/>
            <w:color w:val="auto"/>
            <w:sz w:val="22"/>
            <w:szCs w:val="22"/>
            <w:u w:val="none"/>
          </w:rPr>
          <w:t>http://dx.doi.org/10.14689/ejer.2016.66.6</w:t>
        </w:r>
      </w:hyperlink>
      <w:r w:rsidR="006824CC">
        <w:rPr>
          <w:rFonts w:asciiTheme="majorHAnsi" w:eastAsia="Times New Roman" w:hAnsiTheme="majorHAnsi" w:cs="Times New Roman"/>
          <w:sz w:val="22"/>
          <w:szCs w:val="22"/>
        </w:rPr>
        <w:t>, προσπελάστηκε στις 22/12/2024.</w:t>
      </w:r>
    </w:p>
    <w:p w14:paraId="1713B248" w14:textId="77777777" w:rsidR="00364AEE" w:rsidRPr="00640760" w:rsidRDefault="00364AEE" w:rsidP="00026893">
      <w:pPr>
        <w:ind w:left="284" w:firstLine="284"/>
        <w:contextualSpacing/>
        <w:jc w:val="both"/>
        <w:rPr>
          <w:rFonts w:asciiTheme="majorHAnsi" w:hAnsiTheme="majorHAnsi" w:cs="Times New Roman"/>
          <w:sz w:val="22"/>
          <w:szCs w:val="22"/>
        </w:rPr>
      </w:pPr>
      <w:r w:rsidRPr="00640760">
        <w:rPr>
          <w:rFonts w:asciiTheme="majorHAnsi" w:hAnsiTheme="majorHAnsi" w:cs="Times New Roman"/>
          <w:sz w:val="22"/>
          <w:szCs w:val="22"/>
        </w:rPr>
        <w:t xml:space="preserve">Chen, Y., &amp; Williams, R. (2020). </w:t>
      </w:r>
      <w:r w:rsidRPr="00640760">
        <w:rPr>
          <w:rFonts w:asciiTheme="majorHAnsi" w:hAnsiTheme="majorHAnsi" w:cs="Times New Roman"/>
          <w:iCs/>
          <w:sz w:val="22"/>
          <w:szCs w:val="22"/>
        </w:rPr>
        <w:t>Maternal education and its impact on children's academic outcomes in primary schools</w:t>
      </w:r>
      <w:r w:rsidRPr="00640760">
        <w:rPr>
          <w:rFonts w:asciiTheme="majorHAnsi" w:hAnsiTheme="majorHAnsi" w:cs="Times New Roman"/>
          <w:sz w:val="22"/>
          <w:szCs w:val="22"/>
        </w:rPr>
        <w:t xml:space="preserve">. </w:t>
      </w:r>
      <w:r w:rsidRPr="00640760">
        <w:rPr>
          <w:rFonts w:asciiTheme="majorHAnsi" w:hAnsiTheme="majorHAnsi" w:cs="Times New Roman"/>
          <w:bCs/>
          <w:i/>
          <w:sz w:val="22"/>
          <w:szCs w:val="22"/>
        </w:rPr>
        <w:t>Educational Psychology Review</w:t>
      </w:r>
      <w:r w:rsidRPr="00640760">
        <w:rPr>
          <w:rFonts w:asciiTheme="majorHAnsi" w:hAnsiTheme="majorHAnsi" w:cs="Times New Roman"/>
          <w:i/>
          <w:sz w:val="22"/>
          <w:szCs w:val="22"/>
        </w:rPr>
        <w:t>, 32</w:t>
      </w:r>
      <w:r w:rsidRPr="00640760">
        <w:rPr>
          <w:rFonts w:asciiTheme="majorHAnsi" w:hAnsiTheme="majorHAnsi" w:cs="Times New Roman"/>
          <w:sz w:val="22"/>
          <w:szCs w:val="22"/>
        </w:rPr>
        <w:t xml:space="preserve">(3), 453-470. </w:t>
      </w:r>
      <w:r w:rsidR="008E3111">
        <w:rPr>
          <w:rFonts w:asciiTheme="majorHAnsi" w:hAnsiTheme="majorHAnsi" w:cs="Times New Roman"/>
          <w:sz w:val="22"/>
          <w:szCs w:val="22"/>
        </w:rPr>
        <w:t xml:space="preserve">Διαθέσιμο: </w:t>
      </w:r>
      <w:r w:rsidR="00640760" w:rsidRPr="00640760">
        <w:rPr>
          <w:rFonts w:asciiTheme="majorHAnsi" w:hAnsiTheme="majorHAnsi" w:cs="Times New Roman"/>
          <w:sz w:val="22"/>
          <w:szCs w:val="22"/>
        </w:rPr>
        <w:t>https://</w:t>
      </w:r>
      <w:r w:rsidR="006C477E">
        <w:fldChar w:fldCharType="begin"/>
      </w:r>
      <w:r w:rsidR="006C477E">
        <w:instrText xml:space="preserve"> HYPERLINK "http://dx.doi.org/10.13140/RG.2.2.34532.14725" \t "_blank" </w:instrText>
      </w:r>
      <w:r w:rsidR="006C477E">
        <w:fldChar w:fldCharType="separate"/>
      </w:r>
      <w:r w:rsidR="00640760" w:rsidRPr="00640760">
        <w:rPr>
          <w:rStyle w:val="Hyperlink"/>
          <w:rFonts w:asciiTheme="majorHAnsi" w:eastAsia="Times New Roman" w:hAnsiTheme="majorHAnsi"/>
          <w:color w:val="auto"/>
          <w:sz w:val="22"/>
          <w:szCs w:val="22"/>
          <w:u w:val="none"/>
          <w:bdr w:val="none" w:sz="0" w:space="0" w:color="auto" w:frame="1"/>
          <w:shd w:val="clear" w:color="auto" w:fill="FFFFFF"/>
        </w:rPr>
        <w:t>10.13140/RG.2.2.34532.14725</w:t>
      </w:r>
      <w:r w:rsidR="006C477E">
        <w:rPr>
          <w:rStyle w:val="Hyperlink"/>
          <w:rFonts w:asciiTheme="majorHAnsi" w:eastAsia="Times New Roman" w:hAnsiTheme="majorHAnsi"/>
          <w:color w:val="auto"/>
          <w:sz w:val="22"/>
          <w:szCs w:val="22"/>
          <w:u w:val="none"/>
          <w:bdr w:val="none" w:sz="0" w:space="0" w:color="auto" w:frame="1"/>
          <w:shd w:val="clear" w:color="auto" w:fill="FFFFFF"/>
        </w:rPr>
        <w:fldChar w:fldCharType="end"/>
      </w:r>
      <w:r w:rsidR="008E3111">
        <w:rPr>
          <w:rFonts w:asciiTheme="majorHAnsi" w:eastAsia="Times New Roman" w:hAnsiTheme="majorHAnsi"/>
          <w:sz w:val="22"/>
          <w:szCs w:val="22"/>
        </w:rPr>
        <w:t>, προσπελάστηκε στις 22/12/2024.</w:t>
      </w:r>
    </w:p>
    <w:p w14:paraId="69AB2754" w14:textId="77777777" w:rsidR="005A75C3" w:rsidRPr="00E26A71" w:rsidRDefault="005A75C3" w:rsidP="00026893">
      <w:pPr>
        <w:spacing w:before="100" w:beforeAutospacing="1" w:after="100" w:afterAutospacing="1"/>
        <w:ind w:left="284" w:firstLine="284"/>
        <w:contextualSpacing/>
        <w:jc w:val="both"/>
        <w:rPr>
          <w:rFonts w:asciiTheme="majorHAnsi" w:hAnsiTheme="majorHAnsi" w:cs="Times New Roman"/>
          <w:sz w:val="22"/>
          <w:szCs w:val="22"/>
        </w:rPr>
      </w:pPr>
      <w:r w:rsidRPr="00C20B3E">
        <w:rPr>
          <w:rFonts w:asciiTheme="majorHAnsi" w:hAnsiTheme="majorHAnsi" w:cs="Times New Roman"/>
          <w:color w:val="000000"/>
          <w:sz w:val="22"/>
          <w:szCs w:val="22"/>
        </w:rPr>
        <w:t>Jackson, M. I., Kiernan, K., &amp; McLanahan, S. (2017). Maternal Education, Changing Family Circumstances, and Children’s Skill Development in the United States and UK. </w:t>
      </w:r>
      <w:r w:rsidRPr="00C20B3E">
        <w:rPr>
          <w:rFonts w:asciiTheme="majorHAnsi" w:hAnsiTheme="majorHAnsi" w:cs="Times New Roman"/>
          <w:i/>
          <w:iCs/>
          <w:color w:val="000000"/>
          <w:sz w:val="22"/>
          <w:szCs w:val="22"/>
        </w:rPr>
        <w:t>The ANNALS of the American Academy of Political and Social Science</w:t>
      </w:r>
      <w:r w:rsidRPr="00C20B3E">
        <w:rPr>
          <w:rFonts w:asciiTheme="majorHAnsi" w:hAnsiTheme="majorHAnsi" w:cs="Times New Roman"/>
          <w:color w:val="000000"/>
          <w:sz w:val="22"/>
          <w:szCs w:val="22"/>
        </w:rPr>
        <w:t>, </w:t>
      </w:r>
      <w:r w:rsidRPr="00C20B3E">
        <w:rPr>
          <w:rFonts w:asciiTheme="majorHAnsi" w:hAnsiTheme="majorHAnsi" w:cs="Times New Roman"/>
          <w:i/>
          <w:iCs/>
          <w:color w:val="000000"/>
          <w:sz w:val="22"/>
          <w:szCs w:val="22"/>
        </w:rPr>
        <w:t>674</w:t>
      </w:r>
      <w:r w:rsidRPr="00C20B3E">
        <w:rPr>
          <w:rFonts w:asciiTheme="majorHAnsi" w:hAnsiTheme="majorHAnsi" w:cs="Times New Roman"/>
          <w:color w:val="000000"/>
          <w:sz w:val="22"/>
          <w:szCs w:val="22"/>
        </w:rPr>
        <w:t xml:space="preserve">(1), 59–84. </w:t>
      </w:r>
      <w:r>
        <w:rPr>
          <w:rFonts w:asciiTheme="majorHAnsi" w:hAnsiTheme="majorHAnsi" w:cs="Times New Roman"/>
          <w:color w:val="000000"/>
          <w:sz w:val="22"/>
          <w:szCs w:val="22"/>
          <w:lang w:val="el-GR"/>
        </w:rPr>
        <w:t>Διαθέσιμο</w:t>
      </w:r>
      <w:r w:rsidRPr="00E26A71">
        <w:rPr>
          <w:rFonts w:asciiTheme="majorHAnsi" w:hAnsiTheme="majorHAnsi" w:cs="Times New Roman"/>
          <w:color w:val="000000"/>
          <w:sz w:val="22"/>
          <w:szCs w:val="22"/>
        </w:rPr>
        <w:t xml:space="preserve">: </w:t>
      </w:r>
      <w:hyperlink r:id="rId11" w:history="1">
        <w:r w:rsidRPr="00A93C8C">
          <w:rPr>
            <w:rStyle w:val="Hyperlink"/>
            <w:rFonts w:asciiTheme="majorHAnsi" w:hAnsiTheme="majorHAnsi" w:cs="Times New Roman"/>
            <w:color w:val="auto"/>
            <w:sz w:val="22"/>
            <w:szCs w:val="22"/>
            <w:u w:val="none"/>
          </w:rPr>
          <w:t>https://doi.org/10.1177/0002716217729471</w:t>
        </w:r>
      </w:hyperlink>
      <w:r>
        <w:rPr>
          <w:rFonts w:asciiTheme="majorHAnsi" w:hAnsiTheme="majorHAnsi" w:cs="Times New Roman"/>
          <w:color w:val="000000"/>
          <w:sz w:val="22"/>
          <w:szCs w:val="22"/>
        </w:rPr>
        <w:t>, προσπελάστηκε στις 23/12/2024.</w:t>
      </w:r>
    </w:p>
    <w:p w14:paraId="6610C40A" w14:textId="77777777" w:rsidR="00B509C8" w:rsidRPr="00B509C8" w:rsidRDefault="00B509C8" w:rsidP="00026893">
      <w:pPr>
        <w:spacing w:before="100" w:beforeAutospacing="1" w:after="100" w:afterAutospacing="1"/>
        <w:ind w:left="284" w:firstLine="284"/>
        <w:contextualSpacing/>
        <w:jc w:val="both"/>
        <w:rPr>
          <w:rFonts w:asciiTheme="majorHAnsi" w:hAnsiTheme="majorHAnsi" w:cs="Times New Roman"/>
          <w:sz w:val="22"/>
          <w:szCs w:val="22"/>
          <w:lang w:val="el-GR"/>
        </w:rPr>
      </w:pPr>
      <w:r w:rsidRPr="00B509C8">
        <w:rPr>
          <w:rFonts w:asciiTheme="majorHAnsi" w:hAnsiTheme="majorHAnsi" w:cs="Times New Roman"/>
          <w:color w:val="000000"/>
          <w:sz w:val="22"/>
          <w:szCs w:val="22"/>
        </w:rPr>
        <w:t>Kule Ashirafu</w:t>
      </w:r>
      <w:r w:rsidR="0048215F">
        <w:rPr>
          <w:rFonts w:asciiTheme="majorHAnsi" w:hAnsiTheme="majorHAnsi" w:cs="Times New Roman"/>
          <w:color w:val="000000"/>
          <w:sz w:val="22"/>
          <w:szCs w:val="22"/>
        </w:rPr>
        <w:t>, M.</w:t>
      </w:r>
      <w:r w:rsidRPr="00B509C8">
        <w:rPr>
          <w:rFonts w:asciiTheme="majorHAnsi" w:hAnsiTheme="majorHAnsi" w:cs="Times New Roman"/>
          <w:color w:val="000000"/>
          <w:sz w:val="22"/>
          <w:szCs w:val="22"/>
        </w:rPr>
        <w:t>, &amp; Turyamureeba</w:t>
      </w:r>
      <w:r w:rsidR="0048215F">
        <w:rPr>
          <w:rFonts w:asciiTheme="majorHAnsi" w:hAnsiTheme="majorHAnsi" w:cs="Times New Roman"/>
          <w:color w:val="000000"/>
          <w:sz w:val="22"/>
          <w:szCs w:val="22"/>
        </w:rPr>
        <w:t>, S</w:t>
      </w:r>
      <w:r w:rsidRPr="00B509C8">
        <w:rPr>
          <w:rFonts w:asciiTheme="majorHAnsi" w:hAnsiTheme="majorHAnsi" w:cs="Times New Roman"/>
          <w:color w:val="000000"/>
          <w:sz w:val="22"/>
          <w:szCs w:val="22"/>
        </w:rPr>
        <w:t>. (2024). The Impact of Parental Involvement on Children’s Literacy Development in Early Education. </w:t>
      </w:r>
      <w:r w:rsidRPr="00B509C8">
        <w:rPr>
          <w:rFonts w:asciiTheme="majorHAnsi" w:hAnsiTheme="majorHAnsi" w:cs="Times New Roman"/>
          <w:i/>
          <w:iCs/>
          <w:color w:val="000000"/>
          <w:sz w:val="22"/>
          <w:szCs w:val="22"/>
        </w:rPr>
        <w:t>ResearchGate</w:t>
      </w:r>
      <w:r w:rsidRPr="00E26A71">
        <w:rPr>
          <w:rFonts w:asciiTheme="majorHAnsi" w:hAnsiTheme="majorHAnsi" w:cs="Times New Roman"/>
          <w:color w:val="000000"/>
          <w:sz w:val="22"/>
          <w:szCs w:val="22"/>
          <w:lang w:val="el-GR"/>
        </w:rPr>
        <w:t>,</w:t>
      </w:r>
      <w:r w:rsidRPr="00B509C8">
        <w:rPr>
          <w:rFonts w:asciiTheme="majorHAnsi" w:hAnsiTheme="majorHAnsi" w:cs="Times New Roman"/>
          <w:color w:val="000000"/>
          <w:sz w:val="22"/>
          <w:szCs w:val="22"/>
        </w:rPr>
        <w:t> </w:t>
      </w:r>
      <w:r w:rsidRPr="00E26A71">
        <w:rPr>
          <w:rFonts w:asciiTheme="majorHAnsi" w:hAnsiTheme="majorHAnsi" w:cs="Times New Roman"/>
          <w:i/>
          <w:iCs/>
          <w:color w:val="000000"/>
          <w:sz w:val="22"/>
          <w:szCs w:val="22"/>
          <w:lang w:val="el-GR"/>
        </w:rPr>
        <w:t>3</w:t>
      </w:r>
      <w:r w:rsidRPr="00E26A71">
        <w:rPr>
          <w:rFonts w:asciiTheme="majorHAnsi" w:hAnsiTheme="majorHAnsi" w:cs="Times New Roman"/>
          <w:color w:val="000000"/>
          <w:sz w:val="22"/>
          <w:szCs w:val="22"/>
          <w:lang w:val="el-GR"/>
        </w:rPr>
        <w:t xml:space="preserve">(3). </w:t>
      </w:r>
      <w:r>
        <w:rPr>
          <w:rFonts w:asciiTheme="majorHAnsi" w:hAnsiTheme="majorHAnsi" w:cs="Times New Roman"/>
          <w:color w:val="000000"/>
          <w:sz w:val="22"/>
          <w:szCs w:val="22"/>
          <w:lang w:val="el-GR"/>
        </w:rPr>
        <w:t xml:space="preserve">Διαθέσιμο: </w:t>
      </w:r>
      <w:hyperlink r:id="rId12" w:history="1">
        <w:r w:rsidRPr="00A93C8C">
          <w:rPr>
            <w:rStyle w:val="Hyperlink"/>
            <w:rFonts w:asciiTheme="majorHAnsi" w:hAnsiTheme="majorHAnsi" w:cs="Times New Roman"/>
            <w:color w:val="auto"/>
            <w:sz w:val="22"/>
            <w:szCs w:val="22"/>
            <w:u w:val="none"/>
          </w:rPr>
          <w:t>https</w:t>
        </w:r>
        <w:r w:rsidRPr="00A93C8C">
          <w:rPr>
            <w:rStyle w:val="Hyperlink"/>
            <w:rFonts w:asciiTheme="majorHAnsi" w:hAnsiTheme="majorHAnsi" w:cs="Times New Roman"/>
            <w:color w:val="auto"/>
            <w:sz w:val="22"/>
            <w:szCs w:val="22"/>
            <w:u w:val="none"/>
            <w:lang w:val="el-GR"/>
          </w:rPr>
          <w:t>://</w:t>
        </w:r>
        <w:r w:rsidRPr="00A93C8C">
          <w:rPr>
            <w:rStyle w:val="Hyperlink"/>
            <w:rFonts w:asciiTheme="majorHAnsi" w:hAnsiTheme="majorHAnsi" w:cs="Times New Roman"/>
            <w:color w:val="auto"/>
            <w:sz w:val="22"/>
            <w:szCs w:val="22"/>
            <w:u w:val="none"/>
          </w:rPr>
          <w:t>www</w:t>
        </w:r>
        <w:r w:rsidRPr="00A93C8C">
          <w:rPr>
            <w:rStyle w:val="Hyperlink"/>
            <w:rFonts w:asciiTheme="majorHAnsi" w:hAnsiTheme="majorHAnsi" w:cs="Times New Roman"/>
            <w:color w:val="auto"/>
            <w:sz w:val="22"/>
            <w:szCs w:val="22"/>
            <w:u w:val="none"/>
            <w:lang w:val="el-GR"/>
          </w:rPr>
          <w:t>.</w:t>
        </w:r>
        <w:r w:rsidRPr="00A93C8C">
          <w:rPr>
            <w:rStyle w:val="Hyperlink"/>
            <w:rFonts w:asciiTheme="majorHAnsi" w:hAnsiTheme="majorHAnsi" w:cs="Times New Roman"/>
            <w:color w:val="auto"/>
            <w:sz w:val="22"/>
            <w:szCs w:val="22"/>
            <w:u w:val="none"/>
          </w:rPr>
          <w:t>researchgate</w:t>
        </w:r>
        <w:r w:rsidRPr="00A93C8C">
          <w:rPr>
            <w:rStyle w:val="Hyperlink"/>
            <w:rFonts w:asciiTheme="majorHAnsi" w:hAnsiTheme="majorHAnsi" w:cs="Times New Roman"/>
            <w:color w:val="auto"/>
            <w:sz w:val="22"/>
            <w:szCs w:val="22"/>
            <w:u w:val="none"/>
            <w:lang w:val="el-GR"/>
          </w:rPr>
          <w:t>.</w:t>
        </w:r>
        <w:r w:rsidRPr="00A93C8C">
          <w:rPr>
            <w:rStyle w:val="Hyperlink"/>
            <w:rFonts w:asciiTheme="majorHAnsi" w:hAnsiTheme="majorHAnsi" w:cs="Times New Roman"/>
            <w:color w:val="auto"/>
            <w:sz w:val="22"/>
            <w:szCs w:val="22"/>
            <w:u w:val="none"/>
          </w:rPr>
          <w:t>net</w:t>
        </w:r>
        <w:r w:rsidRPr="00A93C8C">
          <w:rPr>
            <w:rStyle w:val="Hyperlink"/>
            <w:rFonts w:asciiTheme="majorHAnsi" w:hAnsiTheme="majorHAnsi" w:cs="Times New Roman"/>
            <w:color w:val="auto"/>
            <w:sz w:val="22"/>
            <w:szCs w:val="22"/>
            <w:u w:val="none"/>
            <w:lang w:val="el-GR"/>
          </w:rPr>
          <w:t>/</w:t>
        </w:r>
        <w:r w:rsidRPr="00A93C8C">
          <w:rPr>
            <w:rStyle w:val="Hyperlink"/>
            <w:rFonts w:asciiTheme="majorHAnsi" w:hAnsiTheme="majorHAnsi" w:cs="Times New Roman"/>
            <w:color w:val="auto"/>
            <w:sz w:val="22"/>
            <w:szCs w:val="22"/>
            <w:u w:val="none"/>
          </w:rPr>
          <w:t>publication</w:t>
        </w:r>
        <w:r w:rsidRPr="00A93C8C">
          <w:rPr>
            <w:rStyle w:val="Hyperlink"/>
            <w:rFonts w:asciiTheme="majorHAnsi" w:hAnsiTheme="majorHAnsi" w:cs="Times New Roman"/>
            <w:color w:val="auto"/>
            <w:sz w:val="22"/>
            <w:szCs w:val="22"/>
            <w:u w:val="none"/>
            <w:lang w:val="el-GR"/>
          </w:rPr>
          <w:t>/381489564_</w:t>
        </w:r>
        <w:r w:rsidRPr="00A93C8C">
          <w:rPr>
            <w:rStyle w:val="Hyperlink"/>
            <w:rFonts w:asciiTheme="majorHAnsi" w:hAnsiTheme="majorHAnsi" w:cs="Times New Roman"/>
            <w:color w:val="auto"/>
            <w:sz w:val="22"/>
            <w:szCs w:val="22"/>
            <w:u w:val="none"/>
          </w:rPr>
          <w:t>The</w:t>
        </w:r>
        <w:r w:rsidRPr="00A93C8C">
          <w:rPr>
            <w:rStyle w:val="Hyperlink"/>
            <w:rFonts w:asciiTheme="majorHAnsi" w:hAnsiTheme="majorHAnsi" w:cs="Times New Roman"/>
            <w:color w:val="auto"/>
            <w:sz w:val="22"/>
            <w:szCs w:val="22"/>
            <w:u w:val="none"/>
            <w:lang w:val="el-GR"/>
          </w:rPr>
          <w:t>_</w:t>
        </w:r>
        <w:r w:rsidRPr="00A93C8C">
          <w:rPr>
            <w:rStyle w:val="Hyperlink"/>
            <w:rFonts w:asciiTheme="majorHAnsi" w:hAnsiTheme="majorHAnsi" w:cs="Times New Roman"/>
            <w:color w:val="auto"/>
            <w:sz w:val="22"/>
            <w:szCs w:val="22"/>
            <w:u w:val="none"/>
          </w:rPr>
          <w:t>Impact</w:t>
        </w:r>
        <w:r w:rsidRPr="00A93C8C">
          <w:rPr>
            <w:rStyle w:val="Hyperlink"/>
            <w:rFonts w:asciiTheme="majorHAnsi" w:hAnsiTheme="majorHAnsi" w:cs="Times New Roman"/>
            <w:color w:val="auto"/>
            <w:sz w:val="22"/>
            <w:szCs w:val="22"/>
            <w:u w:val="none"/>
            <w:lang w:val="el-GR"/>
          </w:rPr>
          <w:t>_</w:t>
        </w:r>
        <w:r w:rsidRPr="00A93C8C">
          <w:rPr>
            <w:rStyle w:val="Hyperlink"/>
            <w:rFonts w:asciiTheme="majorHAnsi" w:hAnsiTheme="majorHAnsi" w:cs="Times New Roman"/>
            <w:color w:val="auto"/>
            <w:sz w:val="22"/>
            <w:szCs w:val="22"/>
            <w:u w:val="none"/>
          </w:rPr>
          <w:t>of</w:t>
        </w:r>
        <w:r w:rsidRPr="00A93C8C">
          <w:rPr>
            <w:rStyle w:val="Hyperlink"/>
            <w:rFonts w:asciiTheme="majorHAnsi" w:hAnsiTheme="majorHAnsi" w:cs="Times New Roman"/>
            <w:color w:val="auto"/>
            <w:sz w:val="22"/>
            <w:szCs w:val="22"/>
            <w:u w:val="none"/>
            <w:lang w:val="el-GR"/>
          </w:rPr>
          <w:t>_</w:t>
        </w:r>
        <w:r w:rsidRPr="00A93C8C">
          <w:rPr>
            <w:rStyle w:val="Hyperlink"/>
            <w:rFonts w:asciiTheme="majorHAnsi" w:hAnsiTheme="majorHAnsi" w:cs="Times New Roman"/>
            <w:color w:val="auto"/>
            <w:sz w:val="22"/>
            <w:szCs w:val="22"/>
            <w:u w:val="none"/>
          </w:rPr>
          <w:t>Parental</w:t>
        </w:r>
        <w:r w:rsidRPr="00A93C8C">
          <w:rPr>
            <w:rStyle w:val="Hyperlink"/>
            <w:rFonts w:asciiTheme="majorHAnsi" w:hAnsiTheme="majorHAnsi" w:cs="Times New Roman"/>
            <w:color w:val="auto"/>
            <w:sz w:val="22"/>
            <w:szCs w:val="22"/>
            <w:u w:val="none"/>
            <w:lang w:val="el-GR"/>
          </w:rPr>
          <w:t>_</w:t>
        </w:r>
        <w:r w:rsidRPr="00A93C8C">
          <w:rPr>
            <w:rStyle w:val="Hyperlink"/>
            <w:rFonts w:asciiTheme="majorHAnsi" w:hAnsiTheme="majorHAnsi" w:cs="Times New Roman"/>
            <w:color w:val="auto"/>
            <w:sz w:val="22"/>
            <w:szCs w:val="22"/>
            <w:u w:val="none"/>
          </w:rPr>
          <w:t>Involvement</w:t>
        </w:r>
        <w:r w:rsidRPr="00A93C8C">
          <w:rPr>
            <w:rStyle w:val="Hyperlink"/>
            <w:rFonts w:asciiTheme="majorHAnsi" w:hAnsiTheme="majorHAnsi" w:cs="Times New Roman"/>
            <w:color w:val="auto"/>
            <w:sz w:val="22"/>
            <w:szCs w:val="22"/>
            <w:u w:val="none"/>
            <w:lang w:val="el-GR"/>
          </w:rPr>
          <w:t>_</w:t>
        </w:r>
        <w:r w:rsidRPr="00A93C8C">
          <w:rPr>
            <w:rStyle w:val="Hyperlink"/>
            <w:rFonts w:asciiTheme="majorHAnsi" w:hAnsiTheme="majorHAnsi" w:cs="Times New Roman"/>
            <w:color w:val="auto"/>
            <w:sz w:val="22"/>
            <w:szCs w:val="22"/>
            <w:u w:val="none"/>
          </w:rPr>
          <w:t>on</w:t>
        </w:r>
        <w:r w:rsidRPr="00A93C8C">
          <w:rPr>
            <w:rStyle w:val="Hyperlink"/>
            <w:rFonts w:asciiTheme="majorHAnsi" w:hAnsiTheme="majorHAnsi" w:cs="Times New Roman"/>
            <w:color w:val="auto"/>
            <w:sz w:val="22"/>
            <w:szCs w:val="22"/>
            <w:u w:val="none"/>
            <w:lang w:val="el-GR"/>
          </w:rPr>
          <w:t>_</w:t>
        </w:r>
        <w:r w:rsidRPr="00A93C8C">
          <w:rPr>
            <w:rStyle w:val="Hyperlink"/>
            <w:rFonts w:asciiTheme="majorHAnsi" w:hAnsiTheme="majorHAnsi" w:cs="Times New Roman"/>
            <w:color w:val="auto"/>
            <w:sz w:val="22"/>
            <w:szCs w:val="22"/>
            <w:u w:val="none"/>
          </w:rPr>
          <w:t>Children</w:t>
        </w:r>
      </w:hyperlink>
      <w:r w:rsidRPr="00A93C8C">
        <w:rPr>
          <w:rFonts w:asciiTheme="majorHAnsi" w:hAnsiTheme="majorHAnsi" w:cs="Times New Roman"/>
          <w:sz w:val="22"/>
          <w:szCs w:val="22"/>
          <w:lang w:val="el-GR"/>
        </w:rPr>
        <w:t>,</w:t>
      </w:r>
      <w:r w:rsidRPr="00E26A71">
        <w:rPr>
          <w:rFonts w:asciiTheme="majorHAnsi" w:hAnsiTheme="majorHAnsi" w:cs="Times New Roman"/>
          <w:color w:val="000000"/>
          <w:sz w:val="22"/>
          <w:szCs w:val="22"/>
          <w:lang w:val="el-GR"/>
        </w:rPr>
        <w:t xml:space="preserve"> προσπελάστηκε στις 23/12/2024.</w:t>
      </w:r>
    </w:p>
    <w:p w14:paraId="2C3D9D82" w14:textId="77777777" w:rsidR="00275A1F" w:rsidRPr="00E26A71" w:rsidRDefault="00275A1F" w:rsidP="00026893">
      <w:pPr>
        <w:spacing w:before="100" w:beforeAutospacing="1" w:after="100" w:afterAutospacing="1"/>
        <w:ind w:left="284" w:firstLine="284"/>
        <w:contextualSpacing/>
        <w:jc w:val="both"/>
        <w:rPr>
          <w:rFonts w:asciiTheme="majorHAnsi" w:hAnsiTheme="majorHAnsi" w:cs="Times New Roman"/>
          <w:sz w:val="22"/>
          <w:szCs w:val="22"/>
        </w:rPr>
      </w:pPr>
      <w:r w:rsidRPr="00275A1F">
        <w:rPr>
          <w:rFonts w:asciiTheme="majorHAnsi" w:hAnsiTheme="majorHAnsi" w:cs="Times New Roman"/>
          <w:color w:val="000000"/>
          <w:sz w:val="22"/>
          <w:szCs w:val="22"/>
        </w:rPr>
        <w:t>Schochet, O. N., Johnson, A. D., &amp; Ryan, R. M. (2020). The relationship between increases in low-income mothers’ education and children’s early outcomes: Variation by developmental stage and domain. </w:t>
      </w:r>
      <w:r w:rsidRPr="00275A1F">
        <w:rPr>
          <w:rFonts w:asciiTheme="majorHAnsi" w:hAnsiTheme="majorHAnsi" w:cs="Times New Roman"/>
          <w:i/>
          <w:iCs/>
          <w:color w:val="000000"/>
          <w:sz w:val="22"/>
          <w:szCs w:val="22"/>
        </w:rPr>
        <w:t>Children and Youth Services Review</w:t>
      </w:r>
      <w:r w:rsidRPr="00275A1F">
        <w:rPr>
          <w:rFonts w:asciiTheme="majorHAnsi" w:hAnsiTheme="majorHAnsi" w:cs="Times New Roman"/>
          <w:color w:val="000000"/>
          <w:sz w:val="22"/>
          <w:szCs w:val="22"/>
        </w:rPr>
        <w:t>, </w:t>
      </w:r>
      <w:r w:rsidRPr="00275A1F">
        <w:rPr>
          <w:rFonts w:asciiTheme="majorHAnsi" w:hAnsiTheme="majorHAnsi" w:cs="Times New Roman"/>
          <w:i/>
          <w:iCs/>
          <w:color w:val="000000"/>
          <w:sz w:val="22"/>
          <w:szCs w:val="22"/>
        </w:rPr>
        <w:t>109</w:t>
      </w:r>
      <w:r w:rsidRPr="00275A1F">
        <w:rPr>
          <w:rFonts w:asciiTheme="majorHAnsi" w:hAnsiTheme="majorHAnsi" w:cs="Times New Roman"/>
          <w:color w:val="000000"/>
          <w:sz w:val="22"/>
          <w:szCs w:val="22"/>
        </w:rPr>
        <w:t xml:space="preserve">, 104705. </w:t>
      </w:r>
      <w:r>
        <w:rPr>
          <w:rFonts w:asciiTheme="majorHAnsi" w:hAnsiTheme="majorHAnsi" w:cs="Times New Roman"/>
          <w:color w:val="000000"/>
          <w:sz w:val="22"/>
          <w:szCs w:val="22"/>
        </w:rPr>
        <w:t xml:space="preserve">ΔΙαθέσιμο: </w:t>
      </w:r>
      <w:hyperlink r:id="rId13" w:history="1">
        <w:r w:rsidRPr="00A93C8C">
          <w:rPr>
            <w:rStyle w:val="Hyperlink"/>
            <w:rFonts w:asciiTheme="majorHAnsi" w:hAnsiTheme="majorHAnsi" w:cs="Times New Roman"/>
            <w:color w:val="auto"/>
            <w:sz w:val="22"/>
            <w:szCs w:val="22"/>
            <w:u w:val="none"/>
          </w:rPr>
          <w:t>https://doi.org/10.1016/j.childyouth.2019.104705</w:t>
        </w:r>
      </w:hyperlink>
      <w:r>
        <w:rPr>
          <w:rFonts w:asciiTheme="majorHAnsi" w:hAnsiTheme="majorHAnsi" w:cs="Times New Roman"/>
          <w:color w:val="000000"/>
          <w:sz w:val="22"/>
          <w:szCs w:val="22"/>
        </w:rPr>
        <w:t>, προσπελάστηκε στις 23/12/2024.</w:t>
      </w:r>
    </w:p>
    <w:p w14:paraId="57E50BCD" w14:textId="77777777" w:rsidR="00365F27" w:rsidRPr="00313606" w:rsidRDefault="00365F27" w:rsidP="00365F27">
      <w:pPr>
        <w:spacing w:before="100" w:beforeAutospacing="1" w:after="100" w:afterAutospacing="1"/>
        <w:ind w:left="284" w:firstLine="284"/>
        <w:contextualSpacing/>
        <w:jc w:val="both"/>
        <w:rPr>
          <w:rFonts w:asciiTheme="majorHAnsi" w:hAnsiTheme="majorHAnsi" w:cs="Times New Roman"/>
          <w:sz w:val="22"/>
          <w:szCs w:val="22"/>
          <w:lang w:val="el-GR"/>
        </w:rPr>
      </w:pPr>
      <w:r w:rsidRPr="00313606">
        <w:rPr>
          <w:rFonts w:asciiTheme="majorHAnsi" w:hAnsiTheme="majorHAnsi" w:cs="Times New Roman"/>
          <w:color w:val="000000"/>
          <w:sz w:val="22"/>
          <w:szCs w:val="22"/>
        </w:rPr>
        <w:t>U</w:t>
      </w:r>
      <w:r w:rsidRPr="009145CA">
        <w:rPr>
          <w:rFonts w:asciiTheme="majorHAnsi" w:hAnsiTheme="majorHAnsi" w:cs="Times New Roman"/>
          <w:color w:val="000000"/>
          <w:sz w:val="22"/>
          <w:szCs w:val="22"/>
          <w:highlight w:val="red"/>
        </w:rPr>
        <w:t>tami, A. Y. (2022). The Role of Parental Involvement in Student Academic Outcomes. </w:t>
      </w:r>
      <w:r w:rsidRPr="009145CA">
        <w:rPr>
          <w:rFonts w:asciiTheme="majorHAnsi" w:hAnsiTheme="majorHAnsi" w:cs="Times New Roman"/>
          <w:i/>
          <w:iCs/>
          <w:color w:val="000000"/>
          <w:sz w:val="22"/>
          <w:szCs w:val="22"/>
          <w:highlight w:val="red"/>
        </w:rPr>
        <w:t>Journal of Education Review Provision</w:t>
      </w:r>
      <w:r w:rsidRPr="009145CA">
        <w:rPr>
          <w:rFonts w:asciiTheme="majorHAnsi" w:hAnsiTheme="majorHAnsi" w:cs="Times New Roman"/>
          <w:color w:val="000000"/>
          <w:sz w:val="22"/>
          <w:szCs w:val="22"/>
          <w:highlight w:val="red"/>
        </w:rPr>
        <w:t>, </w:t>
      </w:r>
      <w:r w:rsidRPr="009145CA">
        <w:rPr>
          <w:rFonts w:asciiTheme="majorHAnsi" w:hAnsiTheme="majorHAnsi" w:cs="Times New Roman"/>
          <w:i/>
          <w:iCs/>
          <w:color w:val="000000"/>
          <w:sz w:val="22"/>
          <w:szCs w:val="22"/>
          <w:highlight w:val="red"/>
        </w:rPr>
        <w:t>2</w:t>
      </w:r>
      <w:r w:rsidRPr="009145CA">
        <w:rPr>
          <w:rFonts w:asciiTheme="majorHAnsi" w:hAnsiTheme="majorHAnsi" w:cs="Times New Roman"/>
          <w:color w:val="000000"/>
          <w:sz w:val="22"/>
          <w:szCs w:val="22"/>
          <w:highlight w:val="red"/>
        </w:rPr>
        <w:t xml:space="preserve">(1), 17–21. </w:t>
      </w:r>
      <w:r w:rsidRPr="009145CA">
        <w:rPr>
          <w:rFonts w:asciiTheme="majorHAnsi" w:hAnsiTheme="majorHAnsi" w:cs="Times New Roman"/>
          <w:color w:val="000000"/>
          <w:sz w:val="22"/>
          <w:szCs w:val="22"/>
          <w:highlight w:val="red"/>
          <w:lang w:val="el-GR"/>
        </w:rPr>
        <w:t xml:space="preserve">Διαθέσιμο: </w:t>
      </w:r>
      <w:hyperlink r:id="rId14" w:history="1">
        <w:r w:rsidRPr="009145CA">
          <w:rPr>
            <w:rStyle w:val="Hyperlink"/>
            <w:rFonts w:asciiTheme="majorHAnsi" w:hAnsiTheme="majorHAnsi" w:cs="Times New Roman"/>
            <w:color w:val="auto"/>
            <w:sz w:val="22"/>
            <w:szCs w:val="22"/>
            <w:highlight w:val="red"/>
            <w:u w:val="none"/>
          </w:rPr>
          <w:t>https://doi.org/10.55885/jerp.v2i1.156</w:t>
        </w:r>
      </w:hyperlink>
      <w:r w:rsidRPr="009145CA">
        <w:rPr>
          <w:rFonts w:asciiTheme="majorHAnsi" w:hAnsiTheme="majorHAnsi" w:cs="Times New Roman"/>
          <w:sz w:val="22"/>
          <w:szCs w:val="22"/>
          <w:highlight w:val="red"/>
        </w:rPr>
        <w:t>,</w:t>
      </w:r>
      <w:r w:rsidRPr="009145CA">
        <w:rPr>
          <w:rFonts w:asciiTheme="majorHAnsi" w:hAnsiTheme="majorHAnsi" w:cs="Times New Roman"/>
          <w:color w:val="000000"/>
          <w:sz w:val="22"/>
          <w:szCs w:val="22"/>
          <w:highlight w:val="red"/>
        </w:rPr>
        <w:t xml:space="preserve"> προσπελάστηκε στις 13/1/2025).</w:t>
      </w:r>
    </w:p>
    <w:p w14:paraId="52D050F4" w14:textId="77777777" w:rsidR="000E41B5" w:rsidRPr="00E26A71" w:rsidRDefault="0019723B" w:rsidP="00026893">
      <w:pPr>
        <w:spacing w:before="100" w:beforeAutospacing="1" w:after="100" w:afterAutospacing="1"/>
        <w:ind w:left="284" w:firstLine="284"/>
        <w:contextualSpacing/>
        <w:jc w:val="both"/>
        <w:rPr>
          <w:rFonts w:ascii="Times New Roman" w:hAnsi="Times New Roman" w:cs="Times New Roman"/>
        </w:rPr>
      </w:pPr>
      <w:r w:rsidRPr="00D978BD">
        <w:rPr>
          <w:rFonts w:asciiTheme="majorHAnsi" w:hAnsiTheme="majorHAnsi" w:cs="Times New Roman"/>
          <w:color w:val="000000"/>
          <w:sz w:val="22"/>
          <w:szCs w:val="22"/>
        </w:rPr>
        <w:t>Xiong, Z., Her, M., &amp; Yunizar, C. (2023). Parental Involvement with Children’s Schooling: Exploring the Experiences of Hmong Parents in Charter Schools. </w:t>
      </w:r>
      <w:r w:rsidRPr="00D978BD">
        <w:rPr>
          <w:rFonts w:asciiTheme="majorHAnsi" w:hAnsiTheme="majorHAnsi" w:cs="Times New Roman"/>
          <w:i/>
          <w:iCs/>
          <w:color w:val="000000"/>
          <w:sz w:val="22"/>
          <w:szCs w:val="22"/>
        </w:rPr>
        <w:t>School Community Journal</w:t>
      </w:r>
      <w:r w:rsidRPr="00D978BD">
        <w:rPr>
          <w:rFonts w:asciiTheme="majorHAnsi" w:hAnsiTheme="majorHAnsi" w:cs="Times New Roman"/>
          <w:color w:val="000000"/>
          <w:sz w:val="22"/>
          <w:szCs w:val="22"/>
        </w:rPr>
        <w:t>, </w:t>
      </w:r>
      <w:r w:rsidRPr="00D978BD">
        <w:rPr>
          <w:rFonts w:asciiTheme="majorHAnsi" w:hAnsiTheme="majorHAnsi" w:cs="Times New Roman"/>
          <w:i/>
          <w:iCs/>
          <w:color w:val="000000"/>
          <w:sz w:val="22"/>
          <w:szCs w:val="22"/>
        </w:rPr>
        <w:t>33</w:t>
      </w:r>
      <w:r w:rsidRPr="00D978BD">
        <w:rPr>
          <w:rFonts w:asciiTheme="majorHAnsi" w:hAnsiTheme="majorHAnsi" w:cs="Times New Roman"/>
          <w:color w:val="000000"/>
          <w:sz w:val="22"/>
          <w:szCs w:val="22"/>
        </w:rPr>
        <w:t xml:space="preserve">(1). </w:t>
      </w:r>
      <w:r>
        <w:rPr>
          <w:rFonts w:asciiTheme="majorHAnsi" w:hAnsiTheme="majorHAnsi" w:cs="Times New Roman"/>
          <w:color w:val="000000"/>
          <w:sz w:val="22"/>
          <w:szCs w:val="22"/>
          <w:lang w:val="el-GR"/>
        </w:rPr>
        <w:t>Διαθέσιμο</w:t>
      </w:r>
      <w:r w:rsidRPr="00E26A71">
        <w:rPr>
          <w:rFonts w:asciiTheme="majorHAnsi" w:hAnsiTheme="majorHAnsi" w:cs="Times New Roman"/>
          <w:color w:val="000000"/>
          <w:sz w:val="22"/>
          <w:szCs w:val="22"/>
        </w:rPr>
        <w:t xml:space="preserve">: </w:t>
      </w:r>
      <w:hyperlink r:id="rId15" w:history="1">
        <w:r w:rsidRPr="0019723B">
          <w:rPr>
            <w:rStyle w:val="Hyperlink"/>
            <w:rFonts w:asciiTheme="majorHAnsi" w:hAnsiTheme="majorHAnsi" w:cs="Times New Roman"/>
            <w:color w:val="auto"/>
            <w:sz w:val="22"/>
            <w:szCs w:val="22"/>
            <w:u w:val="none"/>
          </w:rPr>
          <w:t>https://www.adi.org/journal/2023ss/XiongEtAlSS23.pdf</w:t>
        </w:r>
      </w:hyperlink>
      <w:r w:rsidRPr="0019723B">
        <w:rPr>
          <w:rFonts w:asciiTheme="majorHAnsi" w:hAnsiTheme="majorHAnsi" w:cs="Times New Roman"/>
          <w:sz w:val="22"/>
          <w:szCs w:val="22"/>
        </w:rPr>
        <w:t>, προσπελάστηκε στις 23/12/2024.</w:t>
      </w:r>
    </w:p>
    <w:p w14:paraId="1CBE7A7B" w14:textId="77777777" w:rsidR="007E0C41" w:rsidRPr="003E1469" w:rsidRDefault="007E0C41" w:rsidP="00026893">
      <w:pPr>
        <w:spacing w:before="100" w:beforeAutospacing="1" w:after="100" w:afterAutospacing="1"/>
        <w:ind w:left="284" w:firstLine="284"/>
        <w:contextualSpacing/>
        <w:jc w:val="both"/>
        <w:rPr>
          <w:rFonts w:ascii="Times New Roman" w:hAnsi="Times New Roman" w:cs="Times New Roman"/>
          <w:lang w:val="el-GR"/>
        </w:rPr>
      </w:pPr>
      <w:r w:rsidRPr="007E0C41">
        <w:rPr>
          <w:rFonts w:asciiTheme="majorHAnsi" w:hAnsiTheme="majorHAnsi" w:cs="Times New Roman"/>
          <w:color w:val="000000"/>
          <w:sz w:val="22"/>
          <w:szCs w:val="22"/>
        </w:rPr>
        <w:t>Zhang, M., Hu, Y., &amp; Hu, Y. (2023). The Influences of Socioeconomic Status on Parental Educational Expectations: Mediating and Moderating Effects. </w:t>
      </w:r>
      <w:r w:rsidRPr="007E0C41">
        <w:rPr>
          <w:rFonts w:asciiTheme="majorHAnsi" w:hAnsiTheme="majorHAnsi" w:cs="Times New Roman"/>
          <w:i/>
          <w:iCs/>
          <w:color w:val="000000"/>
          <w:sz w:val="22"/>
          <w:szCs w:val="22"/>
        </w:rPr>
        <w:t>Sustainability</w:t>
      </w:r>
      <w:r w:rsidRPr="00E26A71">
        <w:rPr>
          <w:rFonts w:asciiTheme="majorHAnsi" w:hAnsiTheme="majorHAnsi" w:cs="Times New Roman"/>
          <w:color w:val="000000"/>
          <w:sz w:val="22"/>
          <w:szCs w:val="22"/>
          <w:lang w:val="el-GR"/>
        </w:rPr>
        <w:t>,</w:t>
      </w:r>
      <w:r w:rsidRPr="007E0C41">
        <w:rPr>
          <w:rFonts w:asciiTheme="majorHAnsi" w:hAnsiTheme="majorHAnsi" w:cs="Times New Roman"/>
          <w:color w:val="000000"/>
          <w:sz w:val="22"/>
          <w:szCs w:val="22"/>
        </w:rPr>
        <w:t> </w:t>
      </w:r>
      <w:r w:rsidRPr="00E26A71">
        <w:rPr>
          <w:rFonts w:asciiTheme="majorHAnsi" w:hAnsiTheme="majorHAnsi" w:cs="Times New Roman"/>
          <w:i/>
          <w:iCs/>
          <w:color w:val="000000"/>
          <w:sz w:val="22"/>
          <w:szCs w:val="22"/>
          <w:lang w:val="el-GR"/>
        </w:rPr>
        <w:t>15</w:t>
      </w:r>
      <w:r w:rsidRPr="00E26A71">
        <w:rPr>
          <w:rFonts w:asciiTheme="majorHAnsi" w:hAnsiTheme="majorHAnsi" w:cs="Times New Roman"/>
          <w:color w:val="000000"/>
          <w:sz w:val="22"/>
          <w:szCs w:val="22"/>
          <w:lang w:val="el-GR"/>
        </w:rPr>
        <w:t xml:space="preserve">(16), 12308. </w:t>
      </w:r>
      <w:r>
        <w:rPr>
          <w:rFonts w:asciiTheme="majorHAnsi" w:hAnsiTheme="majorHAnsi" w:cs="Times New Roman"/>
          <w:color w:val="000000"/>
          <w:sz w:val="22"/>
          <w:szCs w:val="22"/>
          <w:lang w:val="el-GR"/>
        </w:rPr>
        <w:t xml:space="preserve">Διαθέσιμο: </w:t>
      </w:r>
      <w:hyperlink r:id="rId16" w:history="1">
        <w:r w:rsidRPr="00A93C8C">
          <w:rPr>
            <w:rStyle w:val="Hyperlink"/>
            <w:rFonts w:asciiTheme="majorHAnsi" w:hAnsiTheme="majorHAnsi" w:cs="Times New Roman"/>
            <w:color w:val="auto"/>
            <w:sz w:val="22"/>
            <w:szCs w:val="22"/>
            <w:u w:val="none"/>
          </w:rPr>
          <w:t>https</w:t>
        </w:r>
        <w:r w:rsidRPr="00A93C8C">
          <w:rPr>
            <w:rStyle w:val="Hyperlink"/>
            <w:rFonts w:asciiTheme="majorHAnsi" w:hAnsiTheme="majorHAnsi" w:cs="Times New Roman"/>
            <w:color w:val="auto"/>
            <w:sz w:val="22"/>
            <w:szCs w:val="22"/>
            <w:u w:val="none"/>
            <w:lang w:val="el-GR"/>
          </w:rPr>
          <w:t>://</w:t>
        </w:r>
        <w:r w:rsidRPr="00A93C8C">
          <w:rPr>
            <w:rStyle w:val="Hyperlink"/>
            <w:rFonts w:asciiTheme="majorHAnsi" w:hAnsiTheme="majorHAnsi" w:cs="Times New Roman"/>
            <w:color w:val="auto"/>
            <w:sz w:val="22"/>
            <w:szCs w:val="22"/>
            <w:u w:val="none"/>
          </w:rPr>
          <w:t>doi</w:t>
        </w:r>
        <w:r w:rsidRPr="00A93C8C">
          <w:rPr>
            <w:rStyle w:val="Hyperlink"/>
            <w:rFonts w:asciiTheme="majorHAnsi" w:hAnsiTheme="majorHAnsi" w:cs="Times New Roman"/>
            <w:color w:val="auto"/>
            <w:sz w:val="22"/>
            <w:szCs w:val="22"/>
            <w:u w:val="none"/>
            <w:lang w:val="el-GR"/>
          </w:rPr>
          <w:t>.</w:t>
        </w:r>
        <w:r w:rsidRPr="00A93C8C">
          <w:rPr>
            <w:rStyle w:val="Hyperlink"/>
            <w:rFonts w:asciiTheme="majorHAnsi" w:hAnsiTheme="majorHAnsi" w:cs="Times New Roman"/>
            <w:color w:val="auto"/>
            <w:sz w:val="22"/>
            <w:szCs w:val="22"/>
            <w:u w:val="none"/>
          </w:rPr>
          <w:t>org</w:t>
        </w:r>
        <w:r w:rsidRPr="00A93C8C">
          <w:rPr>
            <w:rStyle w:val="Hyperlink"/>
            <w:rFonts w:asciiTheme="majorHAnsi" w:hAnsiTheme="majorHAnsi" w:cs="Times New Roman"/>
            <w:color w:val="auto"/>
            <w:sz w:val="22"/>
            <w:szCs w:val="22"/>
            <w:u w:val="none"/>
            <w:lang w:val="el-GR"/>
          </w:rPr>
          <w:t>/10.3390/</w:t>
        </w:r>
        <w:r w:rsidRPr="00A93C8C">
          <w:rPr>
            <w:rStyle w:val="Hyperlink"/>
            <w:rFonts w:asciiTheme="majorHAnsi" w:hAnsiTheme="majorHAnsi" w:cs="Times New Roman"/>
            <w:color w:val="auto"/>
            <w:sz w:val="22"/>
            <w:szCs w:val="22"/>
            <w:u w:val="none"/>
          </w:rPr>
          <w:t>su</w:t>
        </w:r>
        <w:r w:rsidRPr="00A93C8C">
          <w:rPr>
            <w:rStyle w:val="Hyperlink"/>
            <w:rFonts w:asciiTheme="majorHAnsi" w:hAnsiTheme="majorHAnsi" w:cs="Times New Roman"/>
            <w:color w:val="auto"/>
            <w:sz w:val="22"/>
            <w:szCs w:val="22"/>
            <w:u w:val="none"/>
            <w:lang w:val="el-GR"/>
          </w:rPr>
          <w:t>151612308</w:t>
        </w:r>
      </w:hyperlink>
      <w:r w:rsidRPr="00A93C8C">
        <w:rPr>
          <w:rFonts w:asciiTheme="majorHAnsi" w:hAnsiTheme="majorHAnsi" w:cs="Times New Roman"/>
          <w:sz w:val="22"/>
          <w:szCs w:val="22"/>
          <w:lang w:val="el-GR"/>
        </w:rPr>
        <w:t>,</w:t>
      </w:r>
      <w:r w:rsidRPr="00E26A71">
        <w:rPr>
          <w:rFonts w:asciiTheme="majorHAnsi" w:hAnsiTheme="majorHAnsi" w:cs="Times New Roman"/>
          <w:color w:val="000000"/>
          <w:sz w:val="22"/>
          <w:szCs w:val="22"/>
          <w:lang w:val="el-GR"/>
        </w:rPr>
        <w:t xml:space="preserve"> προσπελάστηκε στις 23/12/2024.</w:t>
      </w:r>
    </w:p>
    <w:p w14:paraId="526D925B" w14:textId="77777777" w:rsidR="00B76E57" w:rsidRPr="00E26A71" w:rsidRDefault="00B76E57" w:rsidP="00026893">
      <w:pPr>
        <w:ind w:left="284" w:firstLine="284"/>
        <w:contextualSpacing/>
        <w:jc w:val="both"/>
        <w:rPr>
          <w:rFonts w:asciiTheme="majorHAnsi" w:hAnsiTheme="majorHAnsi" w:cs="Times New Roman"/>
          <w:sz w:val="22"/>
          <w:szCs w:val="22"/>
          <w:lang w:val="el-GR"/>
        </w:rPr>
      </w:pPr>
      <w:r w:rsidRPr="00E45E05">
        <w:rPr>
          <w:rFonts w:asciiTheme="majorHAnsi" w:hAnsiTheme="majorHAnsi" w:cs="Times New Roman"/>
          <w:sz w:val="22"/>
          <w:szCs w:val="22"/>
        </w:rPr>
        <w:lastRenderedPageBreak/>
        <w:t>Bryman</w:t>
      </w:r>
      <w:r w:rsidRPr="00E45E05">
        <w:rPr>
          <w:rFonts w:asciiTheme="majorHAnsi" w:hAnsiTheme="majorHAnsi" w:cs="Times New Roman"/>
          <w:sz w:val="22"/>
          <w:szCs w:val="22"/>
          <w:lang w:val="el-GR"/>
        </w:rPr>
        <w:t xml:space="preserve">, </w:t>
      </w:r>
      <w:r w:rsidRPr="00E45E05">
        <w:rPr>
          <w:rFonts w:asciiTheme="majorHAnsi" w:hAnsiTheme="majorHAnsi" w:cs="Times New Roman"/>
          <w:sz w:val="22"/>
          <w:szCs w:val="22"/>
        </w:rPr>
        <w:t>A</w:t>
      </w:r>
      <w:r w:rsidRPr="00E45E05">
        <w:rPr>
          <w:rFonts w:asciiTheme="majorHAnsi" w:hAnsiTheme="majorHAnsi" w:cs="Times New Roman"/>
          <w:sz w:val="22"/>
          <w:szCs w:val="22"/>
          <w:lang w:val="el-GR"/>
        </w:rPr>
        <w:t xml:space="preserve">. (2017). </w:t>
      </w:r>
      <w:r w:rsidRPr="00E45E05">
        <w:rPr>
          <w:rFonts w:asciiTheme="majorHAnsi" w:hAnsiTheme="majorHAnsi" w:cs="Times New Roman"/>
          <w:i/>
          <w:sz w:val="22"/>
          <w:szCs w:val="22"/>
          <w:lang w:val="el-GR"/>
        </w:rPr>
        <w:t>Μέθοδοι Κοινωνικής Έρευνας</w:t>
      </w:r>
      <w:r w:rsidRPr="00E45E05">
        <w:rPr>
          <w:rFonts w:asciiTheme="majorHAnsi" w:hAnsiTheme="majorHAnsi" w:cs="Times New Roman"/>
          <w:sz w:val="22"/>
          <w:szCs w:val="22"/>
          <w:lang w:val="el-GR"/>
        </w:rPr>
        <w:t xml:space="preserve">. (Π. Σακελλαρίου, μετάφραση). Θεσσαλονίκη: </w:t>
      </w:r>
      <w:r w:rsidRPr="00E45E05">
        <w:rPr>
          <w:rFonts w:asciiTheme="majorHAnsi" w:hAnsiTheme="majorHAnsi" w:cs="Times New Roman"/>
          <w:sz w:val="22"/>
          <w:szCs w:val="22"/>
        </w:rPr>
        <w:t>Gutenberg</w:t>
      </w:r>
      <w:r w:rsidRPr="00E45E05">
        <w:rPr>
          <w:rFonts w:asciiTheme="majorHAnsi" w:hAnsiTheme="majorHAnsi" w:cs="Times New Roman"/>
          <w:sz w:val="22"/>
          <w:szCs w:val="22"/>
          <w:lang w:val="el-GR"/>
        </w:rPr>
        <w:t>.</w:t>
      </w:r>
    </w:p>
    <w:p w14:paraId="3F35CA03" w14:textId="77777777" w:rsidR="00313606" w:rsidRDefault="005F6103" w:rsidP="00313606">
      <w:pPr>
        <w:spacing w:before="100" w:beforeAutospacing="1" w:after="100" w:afterAutospacing="1"/>
        <w:ind w:left="284" w:firstLine="284"/>
        <w:contextualSpacing/>
        <w:jc w:val="both"/>
        <w:rPr>
          <w:rFonts w:asciiTheme="majorHAnsi" w:hAnsiTheme="majorHAnsi" w:cs="Times New Roman"/>
          <w:sz w:val="22"/>
          <w:szCs w:val="22"/>
          <w:lang w:val="el-GR"/>
        </w:rPr>
      </w:pPr>
      <w:r w:rsidRPr="00B509C8">
        <w:rPr>
          <w:rFonts w:asciiTheme="majorHAnsi" w:hAnsiTheme="majorHAnsi" w:cs="Times New Roman"/>
          <w:sz w:val="22"/>
          <w:szCs w:val="22"/>
          <w:lang w:val="el-GR"/>
        </w:rPr>
        <w:t xml:space="preserve">Παπαναστασίου, Ε. Κ., &amp; Παπαναστασίου, Κ. (2016). </w:t>
      </w:r>
      <w:r w:rsidRPr="00B509C8">
        <w:rPr>
          <w:rFonts w:asciiTheme="majorHAnsi" w:hAnsiTheme="majorHAnsi" w:cs="Times New Roman"/>
          <w:i/>
          <w:sz w:val="22"/>
          <w:szCs w:val="22"/>
          <w:lang w:val="el-GR"/>
        </w:rPr>
        <w:t>Μεθοδολογία Εκπαιδευτικής Έρευνας</w:t>
      </w:r>
      <w:r w:rsidRPr="00B509C8">
        <w:rPr>
          <w:rFonts w:asciiTheme="majorHAnsi" w:hAnsiTheme="majorHAnsi" w:cs="Times New Roman"/>
          <w:sz w:val="22"/>
          <w:szCs w:val="22"/>
          <w:lang w:val="el-GR"/>
        </w:rPr>
        <w:t xml:space="preserve"> (3</w:t>
      </w:r>
      <w:r w:rsidRPr="00B509C8">
        <w:rPr>
          <w:rFonts w:asciiTheme="majorHAnsi" w:hAnsiTheme="majorHAnsi" w:cs="Times New Roman"/>
          <w:sz w:val="22"/>
          <w:szCs w:val="22"/>
          <w:vertAlign w:val="superscript"/>
          <w:lang w:val="el-GR"/>
        </w:rPr>
        <w:t>η</w:t>
      </w:r>
      <w:r w:rsidRPr="00B509C8">
        <w:rPr>
          <w:rFonts w:asciiTheme="majorHAnsi" w:hAnsiTheme="majorHAnsi" w:cs="Times New Roman"/>
          <w:sz w:val="22"/>
          <w:szCs w:val="22"/>
          <w:lang w:val="el-GR"/>
        </w:rPr>
        <w:t xml:space="preserve"> έκδοση). Λευκωσία: Καΐλας Τυπογραφεία &amp; Λιθογραφεία Λτδ</w:t>
      </w:r>
      <w:r w:rsidR="002E693F" w:rsidRPr="00B509C8">
        <w:rPr>
          <w:rFonts w:asciiTheme="majorHAnsi" w:hAnsiTheme="majorHAnsi" w:cs="Times New Roman"/>
          <w:sz w:val="22"/>
          <w:szCs w:val="22"/>
          <w:lang w:val="el-GR"/>
        </w:rPr>
        <w:t>.</w:t>
      </w:r>
    </w:p>
    <w:p w14:paraId="5A7B9809" w14:textId="77777777" w:rsidR="00313606" w:rsidRPr="00313606" w:rsidRDefault="00313606" w:rsidP="00313606">
      <w:pPr>
        <w:spacing w:before="100" w:beforeAutospacing="1" w:after="100" w:afterAutospacing="1"/>
        <w:rPr>
          <w:rFonts w:asciiTheme="majorHAnsi" w:hAnsiTheme="majorHAnsi" w:cs="Times New Roman"/>
          <w:color w:val="000000"/>
          <w:sz w:val="22"/>
          <w:szCs w:val="22"/>
        </w:rPr>
      </w:pPr>
      <w:r w:rsidRPr="00313606">
        <w:rPr>
          <w:rFonts w:asciiTheme="majorHAnsi" w:hAnsiTheme="majorHAnsi" w:cs="Times New Roman"/>
          <w:color w:val="000000"/>
          <w:sz w:val="22"/>
          <w:szCs w:val="22"/>
        </w:rPr>
        <w:t>‌</w:t>
      </w:r>
    </w:p>
    <w:p w14:paraId="6CF6B800" w14:textId="77777777" w:rsidR="00B509C8" w:rsidRPr="00313606" w:rsidRDefault="00B509C8" w:rsidP="00026893">
      <w:pPr>
        <w:spacing w:before="100" w:beforeAutospacing="1" w:after="100" w:afterAutospacing="1"/>
        <w:ind w:firstLine="284"/>
        <w:contextualSpacing/>
        <w:jc w:val="both"/>
        <w:rPr>
          <w:rFonts w:asciiTheme="majorHAnsi" w:hAnsiTheme="majorHAnsi" w:cs="Times New Roman"/>
          <w:color w:val="000000"/>
          <w:sz w:val="22"/>
          <w:szCs w:val="22"/>
        </w:rPr>
      </w:pPr>
    </w:p>
    <w:p w14:paraId="4FFDCA1D" w14:textId="77777777" w:rsidR="0019723B" w:rsidRPr="00275A1F" w:rsidRDefault="0019723B" w:rsidP="00275A1F">
      <w:pPr>
        <w:spacing w:before="100" w:beforeAutospacing="1" w:after="100" w:afterAutospacing="1"/>
        <w:ind w:left="284" w:hanging="284"/>
        <w:contextualSpacing/>
        <w:jc w:val="both"/>
        <w:rPr>
          <w:rFonts w:asciiTheme="majorHAnsi" w:hAnsiTheme="majorHAnsi" w:cs="Times New Roman"/>
          <w:color w:val="000000"/>
          <w:sz w:val="22"/>
          <w:szCs w:val="22"/>
        </w:rPr>
      </w:pPr>
    </w:p>
    <w:p w14:paraId="563FACF3" w14:textId="77777777" w:rsidR="0019723B" w:rsidRDefault="0019723B" w:rsidP="00D978BD">
      <w:pPr>
        <w:spacing w:before="100" w:beforeAutospacing="1" w:after="100" w:afterAutospacing="1"/>
        <w:ind w:left="284" w:hanging="284"/>
        <w:contextualSpacing/>
        <w:jc w:val="both"/>
        <w:rPr>
          <w:rFonts w:asciiTheme="majorHAnsi" w:hAnsiTheme="majorHAnsi" w:cs="Times New Roman"/>
          <w:color w:val="000000"/>
          <w:sz w:val="22"/>
          <w:szCs w:val="22"/>
        </w:rPr>
      </w:pPr>
    </w:p>
    <w:p w14:paraId="63DACE20" w14:textId="77777777" w:rsidR="00D978BD" w:rsidRPr="00D978BD" w:rsidRDefault="00D978BD" w:rsidP="00D978BD">
      <w:pPr>
        <w:spacing w:before="100" w:beforeAutospacing="1" w:after="100" w:afterAutospacing="1"/>
        <w:ind w:hanging="284"/>
        <w:jc w:val="both"/>
        <w:rPr>
          <w:rFonts w:asciiTheme="majorHAnsi" w:hAnsiTheme="majorHAnsi" w:cs="Times New Roman"/>
          <w:color w:val="000000"/>
          <w:sz w:val="22"/>
          <w:szCs w:val="22"/>
        </w:rPr>
      </w:pPr>
      <w:r w:rsidRPr="00D978BD">
        <w:rPr>
          <w:rFonts w:asciiTheme="majorHAnsi" w:hAnsiTheme="majorHAnsi" w:cs="Times New Roman"/>
          <w:color w:val="000000"/>
          <w:sz w:val="22"/>
          <w:szCs w:val="22"/>
        </w:rPr>
        <w:t>‌</w:t>
      </w:r>
    </w:p>
    <w:p w14:paraId="5C229863" w14:textId="77777777" w:rsidR="002E693F" w:rsidRPr="005F6103" w:rsidRDefault="002E693F" w:rsidP="006979B4">
      <w:pPr>
        <w:spacing w:before="100" w:beforeAutospacing="1" w:after="100" w:afterAutospacing="1"/>
        <w:ind w:left="284" w:hanging="284"/>
        <w:contextualSpacing/>
        <w:jc w:val="both"/>
        <w:rPr>
          <w:rFonts w:asciiTheme="majorHAnsi" w:hAnsiTheme="majorHAnsi" w:cs="Times New Roman"/>
          <w:sz w:val="22"/>
          <w:szCs w:val="22"/>
        </w:rPr>
      </w:pPr>
    </w:p>
    <w:sectPr w:rsidR="002E693F" w:rsidRPr="005F6103" w:rsidSect="002205D8">
      <w:footerReference w:type="even" r:id="rId17"/>
      <w:footerReference w:type="defaul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6880F" w14:textId="77777777" w:rsidR="002B5244" w:rsidRDefault="002B5244" w:rsidP="00F61A54">
      <w:r>
        <w:separator/>
      </w:r>
    </w:p>
  </w:endnote>
  <w:endnote w:type="continuationSeparator" w:id="0">
    <w:p w14:paraId="0500C37D" w14:textId="77777777" w:rsidR="002B5244" w:rsidRDefault="002B5244" w:rsidP="00F6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55"/>
    <w:family w:val="auto"/>
    <w:pitch w:val="variable"/>
    <w:sig w:usb0="E0002AFF" w:usb1="C0007841" w:usb2="00000009" w:usb3="00000000" w:csb0="000001FF" w:csb1="00000000"/>
  </w:font>
  <w:font w:name="Courier New">
    <w:panose1 w:val="02070309020205020404"/>
    <w:charset w:val="55"/>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55"/>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55"/>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Segoe UI">
    <w:altName w:val="Gill Sans"/>
    <w:charset w:val="A1"/>
    <w:family w:val="swiss"/>
    <w:pitch w:val="variable"/>
    <w:sig w:usb0="E10022FF" w:usb1="C000E47F" w:usb2="00000029" w:usb3="00000000" w:csb0="000001DF" w:csb1="00000000"/>
  </w:font>
  <w:font w:name="Arial">
    <w:panose1 w:val="020B0604020202020204"/>
    <w:charset w:val="55"/>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A954B" w14:textId="77777777" w:rsidR="002B5244" w:rsidRDefault="002B5244" w:rsidP="008B01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E1804" w14:textId="77777777" w:rsidR="002B5244" w:rsidRDefault="002B5244" w:rsidP="00F61A5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7CAF1" w14:textId="77777777" w:rsidR="002B5244" w:rsidRDefault="002B5244" w:rsidP="008B01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4226">
      <w:rPr>
        <w:rStyle w:val="PageNumber"/>
        <w:noProof/>
      </w:rPr>
      <w:t>8</w:t>
    </w:r>
    <w:r>
      <w:rPr>
        <w:rStyle w:val="PageNumber"/>
      </w:rPr>
      <w:fldChar w:fldCharType="end"/>
    </w:r>
  </w:p>
  <w:p w14:paraId="01D16D40" w14:textId="77777777" w:rsidR="002B5244" w:rsidRDefault="002B5244" w:rsidP="00F61A5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CE3FC" w14:textId="77777777" w:rsidR="002B5244" w:rsidRDefault="002B5244" w:rsidP="00F61A54">
      <w:r>
        <w:separator/>
      </w:r>
    </w:p>
  </w:footnote>
  <w:footnote w:type="continuationSeparator" w:id="0">
    <w:p w14:paraId="63748B31" w14:textId="77777777" w:rsidR="002B5244" w:rsidRDefault="002B5244" w:rsidP="00F61A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87552"/>
    <w:multiLevelType w:val="hybridMultilevel"/>
    <w:tmpl w:val="3E42E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80196E"/>
    <w:multiLevelType w:val="multilevel"/>
    <w:tmpl w:val="6FF6A3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35B1562"/>
    <w:multiLevelType w:val="multilevel"/>
    <w:tmpl w:val="FF5E78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E6104D6"/>
    <w:multiLevelType w:val="multilevel"/>
    <w:tmpl w:val="643E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031C90"/>
    <w:multiLevelType w:val="multilevel"/>
    <w:tmpl w:val="1206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527BAE"/>
    <w:multiLevelType w:val="multilevel"/>
    <w:tmpl w:val="45624E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7CCA"/>
    <w:rsid w:val="00000389"/>
    <w:rsid w:val="0002618A"/>
    <w:rsid w:val="00026893"/>
    <w:rsid w:val="00026F5C"/>
    <w:rsid w:val="0004075B"/>
    <w:rsid w:val="0004388D"/>
    <w:rsid w:val="00065D65"/>
    <w:rsid w:val="00074E64"/>
    <w:rsid w:val="000977AA"/>
    <w:rsid w:val="000B479A"/>
    <w:rsid w:val="000B4A53"/>
    <w:rsid w:val="000C0F54"/>
    <w:rsid w:val="000D716A"/>
    <w:rsid w:val="000E41B5"/>
    <w:rsid w:val="001038FA"/>
    <w:rsid w:val="001048F9"/>
    <w:rsid w:val="00111045"/>
    <w:rsid w:val="0013072B"/>
    <w:rsid w:val="001320FE"/>
    <w:rsid w:val="00142259"/>
    <w:rsid w:val="00142330"/>
    <w:rsid w:val="00146323"/>
    <w:rsid w:val="0016276A"/>
    <w:rsid w:val="0018062A"/>
    <w:rsid w:val="0018164C"/>
    <w:rsid w:val="0018305A"/>
    <w:rsid w:val="0019723B"/>
    <w:rsid w:val="001B376F"/>
    <w:rsid w:val="001E7392"/>
    <w:rsid w:val="00202F16"/>
    <w:rsid w:val="002205D8"/>
    <w:rsid w:val="002230ED"/>
    <w:rsid w:val="0022369D"/>
    <w:rsid w:val="00236B83"/>
    <w:rsid w:val="00250E91"/>
    <w:rsid w:val="002712A1"/>
    <w:rsid w:val="00275A1F"/>
    <w:rsid w:val="002A196D"/>
    <w:rsid w:val="002A7046"/>
    <w:rsid w:val="002B5244"/>
    <w:rsid w:val="002D77BB"/>
    <w:rsid w:val="002E693F"/>
    <w:rsid w:val="002F1777"/>
    <w:rsid w:val="00303694"/>
    <w:rsid w:val="00313606"/>
    <w:rsid w:val="00327822"/>
    <w:rsid w:val="00331C85"/>
    <w:rsid w:val="00332514"/>
    <w:rsid w:val="00336408"/>
    <w:rsid w:val="00363168"/>
    <w:rsid w:val="00364AEE"/>
    <w:rsid w:val="00365F27"/>
    <w:rsid w:val="00372650"/>
    <w:rsid w:val="00391A39"/>
    <w:rsid w:val="00392E67"/>
    <w:rsid w:val="003A7057"/>
    <w:rsid w:val="003A7AF5"/>
    <w:rsid w:val="003C5F81"/>
    <w:rsid w:val="003D1AC5"/>
    <w:rsid w:val="003E1469"/>
    <w:rsid w:val="003F5D87"/>
    <w:rsid w:val="00401FAA"/>
    <w:rsid w:val="0040387F"/>
    <w:rsid w:val="00416C9E"/>
    <w:rsid w:val="00417D2D"/>
    <w:rsid w:val="00430F96"/>
    <w:rsid w:val="00433A4F"/>
    <w:rsid w:val="004759CD"/>
    <w:rsid w:val="0047629E"/>
    <w:rsid w:val="0047741C"/>
    <w:rsid w:val="0048215F"/>
    <w:rsid w:val="00497096"/>
    <w:rsid w:val="004C091F"/>
    <w:rsid w:val="004F0112"/>
    <w:rsid w:val="004F0596"/>
    <w:rsid w:val="004F7A36"/>
    <w:rsid w:val="00500AD4"/>
    <w:rsid w:val="00535EA1"/>
    <w:rsid w:val="00563C05"/>
    <w:rsid w:val="00575F33"/>
    <w:rsid w:val="005A2DFD"/>
    <w:rsid w:val="005A5CCD"/>
    <w:rsid w:val="005A75C3"/>
    <w:rsid w:val="005D39F5"/>
    <w:rsid w:val="005E0A1D"/>
    <w:rsid w:val="005E30B8"/>
    <w:rsid w:val="005E3A2B"/>
    <w:rsid w:val="005F6103"/>
    <w:rsid w:val="00602935"/>
    <w:rsid w:val="00640760"/>
    <w:rsid w:val="00660392"/>
    <w:rsid w:val="006824CC"/>
    <w:rsid w:val="006834DB"/>
    <w:rsid w:val="006874FC"/>
    <w:rsid w:val="006979B4"/>
    <w:rsid w:val="00697D01"/>
    <w:rsid w:val="006A2D5B"/>
    <w:rsid w:val="006B4226"/>
    <w:rsid w:val="006C477E"/>
    <w:rsid w:val="006C5A35"/>
    <w:rsid w:val="006F55FB"/>
    <w:rsid w:val="007078C8"/>
    <w:rsid w:val="00761B16"/>
    <w:rsid w:val="007646A9"/>
    <w:rsid w:val="00772A2B"/>
    <w:rsid w:val="0078366A"/>
    <w:rsid w:val="007977EC"/>
    <w:rsid w:val="007D55EB"/>
    <w:rsid w:val="007E0C41"/>
    <w:rsid w:val="00827918"/>
    <w:rsid w:val="00851DDF"/>
    <w:rsid w:val="008672EC"/>
    <w:rsid w:val="00882E02"/>
    <w:rsid w:val="00885230"/>
    <w:rsid w:val="008B011E"/>
    <w:rsid w:val="008C37B7"/>
    <w:rsid w:val="008D6719"/>
    <w:rsid w:val="008E3111"/>
    <w:rsid w:val="008E4B77"/>
    <w:rsid w:val="008F1032"/>
    <w:rsid w:val="00904A08"/>
    <w:rsid w:val="00906BA4"/>
    <w:rsid w:val="0091051D"/>
    <w:rsid w:val="009145CA"/>
    <w:rsid w:val="00943276"/>
    <w:rsid w:val="009437A2"/>
    <w:rsid w:val="00947136"/>
    <w:rsid w:val="00951BBA"/>
    <w:rsid w:val="0096615D"/>
    <w:rsid w:val="009845EF"/>
    <w:rsid w:val="00993C8A"/>
    <w:rsid w:val="009A173A"/>
    <w:rsid w:val="009D4946"/>
    <w:rsid w:val="009F23E7"/>
    <w:rsid w:val="00A13014"/>
    <w:rsid w:val="00A43E6C"/>
    <w:rsid w:val="00A47367"/>
    <w:rsid w:val="00A5418D"/>
    <w:rsid w:val="00A62152"/>
    <w:rsid w:val="00A64850"/>
    <w:rsid w:val="00A70D86"/>
    <w:rsid w:val="00A87CA2"/>
    <w:rsid w:val="00A93C8C"/>
    <w:rsid w:val="00AC00B6"/>
    <w:rsid w:val="00AD5CAB"/>
    <w:rsid w:val="00AD7A8F"/>
    <w:rsid w:val="00B17427"/>
    <w:rsid w:val="00B42913"/>
    <w:rsid w:val="00B509C8"/>
    <w:rsid w:val="00B630B4"/>
    <w:rsid w:val="00B64992"/>
    <w:rsid w:val="00B66ABC"/>
    <w:rsid w:val="00B70C17"/>
    <w:rsid w:val="00B76E57"/>
    <w:rsid w:val="00B90EBC"/>
    <w:rsid w:val="00B9140A"/>
    <w:rsid w:val="00BB0EBC"/>
    <w:rsid w:val="00BB78B7"/>
    <w:rsid w:val="00BC6ED2"/>
    <w:rsid w:val="00BD1ABD"/>
    <w:rsid w:val="00BD7EB1"/>
    <w:rsid w:val="00BF33CB"/>
    <w:rsid w:val="00C20B3E"/>
    <w:rsid w:val="00C23B02"/>
    <w:rsid w:val="00C25A25"/>
    <w:rsid w:val="00C7284F"/>
    <w:rsid w:val="00C87470"/>
    <w:rsid w:val="00CA0836"/>
    <w:rsid w:val="00D057FF"/>
    <w:rsid w:val="00D05EA1"/>
    <w:rsid w:val="00D124B0"/>
    <w:rsid w:val="00D47E2B"/>
    <w:rsid w:val="00D678E9"/>
    <w:rsid w:val="00D83AE1"/>
    <w:rsid w:val="00D9539E"/>
    <w:rsid w:val="00D978BD"/>
    <w:rsid w:val="00DA234B"/>
    <w:rsid w:val="00DA51F3"/>
    <w:rsid w:val="00DE3464"/>
    <w:rsid w:val="00DE3E09"/>
    <w:rsid w:val="00DF4484"/>
    <w:rsid w:val="00DF6A2F"/>
    <w:rsid w:val="00E131B7"/>
    <w:rsid w:val="00E26A71"/>
    <w:rsid w:val="00E316D5"/>
    <w:rsid w:val="00E45DB4"/>
    <w:rsid w:val="00E45E05"/>
    <w:rsid w:val="00E63A09"/>
    <w:rsid w:val="00E65B63"/>
    <w:rsid w:val="00E75D31"/>
    <w:rsid w:val="00E761A2"/>
    <w:rsid w:val="00E80023"/>
    <w:rsid w:val="00E934E0"/>
    <w:rsid w:val="00E97320"/>
    <w:rsid w:val="00EE2BD6"/>
    <w:rsid w:val="00EE6422"/>
    <w:rsid w:val="00EF3A5D"/>
    <w:rsid w:val="00F01FDA"/>
    <w:rsid w:val="00F07CCA"/>
    <w:rsid w:val="00F26BAD"/>
    <w:rsid w:val="00F36002"/>
    <w:rsid w:val="00F41896"/>
    <w:rsid w:val="00F5140F"/>
    <w:rsid w:val="00F61A54"/>
    <w:rsid w:val="00F62F66"/>
    <w:rsid w:val="00F8215E"/>
    <w:rsid w:val="00F832F4"/>
    <w:rsid w:val="00F9496D"/>
    <w:rsid w:val="00FA2715"/>
    <w:rsid w:val="00FC0CB6"/>
    <w:rsid w:val="00FC542C"/>
    <w:rsid w:val="00FD51C3"/>
    <w:rsid w:val="00FE2D5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42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AA"/>
  </w:style>
  <w:style w:type="paragraph" w:styleId="Heading1">
    <w:name w:val="heading 1"/>
    <w:basedOn w:val="Normal"/>
    <w:next w:val="Normal"/>
    <w:link w:val="Heading1Char"/>
    <w:uiPriority w:val="9"/>
    <w:qFormat/>
    <w:rsid w:val="00993C8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FD51C3"/>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973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51C3"/>
    <w:rPr>
      <w:rFonts w:ascii="Times New Roman" w:hAnsi="Times New Roman" w:cs="Times New Roman"/>
      <w:b/>
      <w:bCs/>
      <w:sz w:val="27"/>
      <w:szCs w:val="27"/>
    </w:rPr>
  </w:style>
  <w:style w:type="paragraph" w:styleId="NormalWeb">
    <w:name w:val="Normal (Web)"/>
    <w:basedOn w:val="Normal"/>
    <w:uiPriority w:val="99"/>
    <w:unhideWhenUsed/>
    <w:rsid w:val="00FD51C3"/>
    <w:pPr>
      <w:spacing w:before="100" w:beforeAutospacing="1" w:after="100" w:afterAutospacing="1"/>
    </w:pPr>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sid w:val="00E97320"/>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16276A"/>
    <w:rPr>
      <w:b/>
      <w:bCs/>
    </w:rPr>
  </w:style>
  <w:style w:type="paragraph" w:styleId="Footer">
    <w:name w:val="footer"/>
    <w:basedOn w:val="Normal"/>
    <w:link w:val="FooterChar"/>
    <w:uiPriority w:val="99"/>
    <w:unhideWhenUsed/>
    <w:rsid w:val="00F61A54"/>
    <w:pPr>
      <w:tabs>
        <w:tab w:val="center" w:pos="4320"/>
        <w:tab w:val="right" w:pos="8640"/>
      </w:tabs>
    </w:pPr>
  </w:style>
  <w:style w:type="character" w:customStyle="1" w:styleId="FooterChar">
    <w:name w:val="Footer Char"/>
    <w:basedOn w:val="DefaultParagraphFont"/>
    <w:link w:val="Footer"/>
    <w:uiPriority w:val="99"/>
    <w:rsid w:val="00F61A54"/>
  </w:style>
  <w:style w:type="character" w:styleId="PageNumber">
    <w:name w:val="page number"/>
    <w:basedOn w:val="DefaultParagraphFont"/>
    <w:uiPriority w:val="99"/>
    <w:semiHidden/>
    <w:unhideWhenUsed/>
    <w:rsid w:val="00F61A54"/>
  </w:style>
  <w:style w:type="table" w:styleId="TableGrid">
    <w:name w:val="Table Grid"/>
    <w:basedOn w:val="TableNormal"/>
    <w:uiPriority w:val="59"/>
    <w:rsid w:val="005E30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3C8A"/>
    <w:rPr>
      <w:rFonts w:asciiTheme="majorHAnsi" w:eastAsiaTheme="majorEastAsia" w:hAnsiTheme="majorHAnsi" w:cstheme="majorBidi"/>
      <w:b/>
      <w:bCs/>
      <w:color w:val="345A8A" w:themeColor="accent1" w:themeShade="B5"/>
      <w:sz w:val="32"/>
      <w:szCs w:val="32"/>
    </w:rPr>
  </w:style>
  <w:style w:type="character" w:styleId="Emphasis">
    <w:name w:val="Emphasis"/>
    <w:basedOn w:val="DefaultParagraphFont"/>
    <w:uiPriority w:val="20"/>
    <w:qFormat/>
    <w:rsid w:val="0002618A"/>
    <w:rPr>
      <w:i/>
      <w:iCs/>
    </w:rPr>
  </w:style>
  <w:style w:type="character" w:styleId="Hyperlink">
    <w:name w:val="Hyperlink"/>
    <w:basedOn w:val="DefaultParagraphFont"/>
    <w:uiPriority w:val="99"/>
    <w:unhideWhenUsed/>
    <w:rsid w:val="000C0F54"/>
    <w:rPr>
      <w:color w:val="0000FF" w:themeColor="hyperlink"/>
      <w:u w:val="single"/>
    </w:rPr>
  </w:style>
  <w:style w:type="character" w:styleId="FollowedHyperlink">
    <w:name w:val="FollowedHyperlink"/>
    <w:basedOn w:val="DefaultParagraphFont"/>
    <w:uiPriority w:val="99"/>
    <w:semiHidden/>
    <w:unhideWhenUsed/>
    <w:rsid w:val="001038FA"/>
    <w:rPr>
      <w:color w:val="800080" w:themeColor="followedHyperlink"/>
      <w:u w:val="single"/>
    </w:rPr>
  </w:style>
  <w:style w:type="character" w:customStyle="1" w:styleId="identifier">
    <w:name w:val="identifier"/>
    <w:basedOn w:val="DefaultParagraphFont"/>
    <w:rsid w:val="00772A2B"/>
  </w:style>
  <w:style w:type="paragraph" w:styleId="ListParagraph">
    <w:name w:val="List Paragraph"/>
    <w:basedOn w:val="Normal"/>
    <w:uiPriority w:val="34"/>
    <w:qFormat/>
    <w:rsid w:val="004762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3C8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FD51C3"/>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973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51C3"/>
    <w:rPr>
      <w:rFonts w:ascii="Times New Roman" w:hAnsi="Times New Roman" w:cs="Times New Roman"/>
      <w:b/>
      <w:bCs/>
      <w:sz w:val="27"/>
      <w:szCs w:val="27"/>
    </w:rPr>
  </w:style>
  <w:style w:type="paragraph" w:styleId="NormalWeb">
    <w:name w:val="Normal (Web)"/>
    <w:basedOn w:val="Normal"/>
    <w:uiPriority w:val="99"/>
    <w:unhideWhenUsed/>
    <w:rsid w:val="00FD51C3"/>
    <w:pPr>
      <w:spacing w:before="100" w:beforeAutospacing="1" w:after="100" w:afterAutospacing="1"/>
    </w:pPr>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sid w:val="00E97320"/>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16276A"/>
    <w:rPr>
      <w:b/>
      <w:bCs/>
    </w:rPr>
  </w:style>
  <w:style w:type="paragraph" w:styleId="Footer">
    <w:name w:val="footer"/>
    <w:basedOn w:val="Normal"/>
    <w:link w:val="FooterChar"/>
    <w:uiPriority w:val="99"/>
    <w:unhideWhenUsed/>
    <w:rsid w:val="00F61A54"/>
    <w:pPr>
      <w:tabs>
        <w:tab w:val="center" w:pos="4320"/>
        <w:tab w:val="right" w:pos="8640"/>
      </w:tabs>
    </w:pPr>
  </w:style>
  <w:style w:type="character" w:customStyle="1" w:styleId="FooterChar">
    <w:name w:val="Footer Char"/>
    <w:basedOn w:val="DefaultParagraphFont"/>
    <w:link w:val="Footer"/>
    <w:uiPriority w:val="99"/>
    <w:rsid w:val="00F61A54"/>
  </w:style>
  <w:style w:type="character" w:styleId="PageNumber">
    <w:name w:val="page number"/>
    <w:basedOn w:val="DefaultParagraphFont"/>
    <w:uiPriority w:val="99"/>
    <w:semiHidden/>
    <w:unhideWhenUsed/>
    <w:rsid w:val="00F61A54"/>
  </w:style>
  <w:style w:type="table" w:styleId="TableGrid">
    <w:name w:val="Table Grid"/>
    <w:basedOn w:val="TableNormal"/>
    <w:uiPriority w:val="59"/>
    <w:rsid w:val="005E30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3C8A"/>
    <w:rPr>
      <w:rFonts w:asciiTheme="majorHAnsi" w:eastAsiaTheme="majorEastAsia" w:hAnsiTheme="majorHAnsi" w:cstheme="majorBidi"/>
      <w:b/>
      <w:bCs/>
      <w:color w:val="345A8A" w:themeColor="accent1" w:themeShade="B5"/>
      <w:sz w:val="32"/>
      <w:szCs w:val="32"/>
    </w:rPr>
  </w:style>
  <w:style w:type="character" w:styleId="Emphasis">
    <w:name w:val="Emphasis"/>
    <w:basedOn w:val="DefaultParagraphFont"/>
    <w:uiPriority w:val="20"/>
    <w:qFormat/>
    <w:rsid w:val="0002618A"/>
    <w:rPr>
      <w:i/>
      <w:iCs/>
    </w:rPr>
  </w:style>
  <w:style w:type="character" w:styleId="Hyperlink">
    <w:name w:val="Hyperlink"/>
    <w:basedOn w:val="DefaultParagraphFont"/>
    <w:uiPriority w:val="99"/>
    <w:unhideWhenUsed/>
    <w:rsid w:val="000C0F54"/>
    <w:rPr>
      <w:color w:val="0000FF" w:themeColor="hyperlink"/>
      <w:u w:val="single"/>
    </w:rPr>
  </w:style>
  <w:style w:type="character" w:styleId="FollowedHyperlink">
    <w:name w:val="FollowedHyperlink"/>
    <w:basedOn w:val="DefaultParagraphFont"/>
    <w:uiPriority w:val="99"/>
    <w:semiHidden/>
    <w:unhideWhenUsed/>
    <w:rsid w:val="001038FA"/>
    <w:rPr>
      <w:color w:val="800080" w:themeColor="followedHyperlink"/>
      <w:u w:val="single"/>
    </w:rPr>
  </w:style>
  <w:style w:type="character" w:customStyle="1" w:styleId="identifier">
    <w:name w:val="identifier"/>
    <w:basedOn w:val="DefaultParagraphFont"/>
    <w:rsid w:val="00772A2B"/>
  </w:style>
  <w:style w:type="paragraph" w:styleId="ListParagraph">
    <w:name w:val="List Paragraph"/>
    <w:basedOn w:val="Normal"/>
    <w:uiPriority w:val="34"/>
    <w:qFormat/>
    <w:rsid w:val="00476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7161">
      <w:bodyDiv w:val="1"/>
      <w:marLeft w:val="0"/>
      <w:marRight w:val="0"/>
      <w:marTop w:val="0"/>
      <w:marBottom w:val="0"/>
      <w:divBdr>
        <w:top w:val="none" w:sz="0" w:space="0" w:color="auto"/>
        <w:left w:val="none" w:sz="0" w:space="0" w:color="auto"/>
        <w:bottom w:val="none" w:sz="0" w:space="0" w:color="auto"/>
        <w:right w:val="none" w:sz="0" w:space="0" w:color="auto"/>
      </w:divBdr>
    </w:div>
    <w:div w:id="104274717">
      <w:bodyDiv w:val="1"/>
      <w:marLeft w:val="0"/>
      <w:marRight w:val="0"/>
      <w:marTop w:val="0"/>
      <w:marBottom w:val="0"/>
      <w:divBdr>
        <w:top w:val="none" w:sz="0" w:space="0" w:color="auto"/>
        <w:left w:val="none" w:sz="0" w:space="0" w:color="auto"/>
        <w:bottom w:val="none" w:sz="0" w:space="0" w:color="auto"/>
        <w:right w:val="none" w:sz="0" w:space="0" w:color="auto"/>
      </w:divBdr>
    </w:div>
    <w:div w:id="157503737">
      <w:bodyDiv w:val="1"/>
      <w:marLeft w:val="0"/>
      <w:marRight w:val="0"/>
      <w:marTop w:val="0"/>
      <w:marBottom w:val="0"/>
      <w:divBdr>
        <w:top w:val="none" w:sz="0" w:space="0" w:color="auto"/>
        <w:left w:val="none" w:sz="0" w:space="0" w:color="auto"/>
        <w:bottom w:val="none" w:sz="0" w:space="0" w:color="auto"/>
        <w:right w:val="none" w:sz="0" w:space="0" w:color="auto"/>
      </w:divBdr>
    </w:div>
    <w:div w:id="160433592">
      <w:bodyDiv w:val="1"/>
      <w:marLeft w:val="0"/>
      <w:marRight w:val="0"/>
      <w:marTop w:val="0"/>
      <w:marBottom w:val="0"/>
      <w:divBdr>
        <w:top w:val="none" w:sz="0" w:space="0" w:color="auto"/>
        <w:left w:val="none" w:sz="0" w:space="0" w:color="auto"/>
        <w:bottom w:val="none" w:sz="0" w:space="0" w:color="auto"/>
        <w:right w:val="none" w:sz="0" w:space="0" w:color="auto"/>
      </w:divBdr>
    </w:div>
    <w:div w:id="200284747">
      <w:bodyDiv w:val="1"/>
      <w:marLeft w:val="0"/>
      <w:marRight w:val="0"/>
      <w:marTop w:val="0"/>
      <w:marBottom w:val="0"/>
      <w:divBdr>
        <w:top w:val="none" w:sz="0" w:space="0" w:color="auto"/>
        <w:left w:val="none" w:sz="0" w:space="0" w:color="auto"/>
        <w:bottom w:val="none" w:sz="0" w:space="0" w:color="auto"/>
        <w:right w:val="none" w:sz="0" w:space="0" w:color="auto"/>
      </w:divBdr>
    </w:div>
    <w:div w:id="216431801">
      <w:bodyDiv w:val="1"/>
      <w:marLeft w:val="0"/>
      <w:marRight w:val="0"/>
      <w:marTop w:val="0"/>
      <w:marBottom w:val="0"/>
      <w:divBdr>
        <w:top w:val="none" w:sz="0" w:space="0" w:color="auto"/>
        <w:left w:val="none" w:sz="0" w:space="0" w:color="auto"/>
        <w:bottom w:val="none" w:sz="0" w:space="0" w:color="auto"/>
        <w:right w:val="none" w:sz="0" w:space="0" w:color="auto"/>
      </w:divBdr>
    </w:div>
    <w:div w:id="382561511">
      <w:bodyDiv w:val="1"/>
      <w:marLeft w:val="0"/>
      <w:marRight w:val="0"/>
      <w:marTop w:val="0"/>
      <w:marBottom w:val="0"/>
      <w:divBdr>
        <w:top w:val="none" w:sz="0" w:space="0" w:color="auto"/>
        <w:left w:val="none" w:sz="0" w:space="0" w:color="auto"/>
        <w:bottom w:val="none" w:sz="0" w:space="0" w:color="auto"/>
        <w:right w:val="none" w:sz="0" w:space="0" w:color="auto"/>
      </w:divBdr>
    </w:div>
    <w:div w:id="416219663">
      <w:bodyDiv w:val="1"/>
      <w:marLeft w:val="0"/>
      <w:marRight w:val="0"/>
      <w:marTop w:val="0"/>
      <w:marBottom w:val="0"/>
      <w:divBdr>
        <w:top w:val="none" w:sz="0" w:space="0" w:color="auto"/>
        <w:left w:val="none" w:sz="0" w:space="0" w:color="auto"/>
        <w:bottom w:val="none" w:sz="0" w:space="0" w:color="auto"/>
        <w:right w:val="none" w:sz="0" w:space="0" w:color="auto"/>
      </w:divBdr>
    </w:div>
    <w:div w:id="419252894">
      <w:bodyDiv w:val="1"/>
      <w:marLeft w:val="0"/>
      <w:marRight w:val="0"/>
      <w:marTop w:val="0"/>
      <w:marBottom w:val="0"/>
      <w:divBdr>
        <w:top w:val="none" w:sz="0" w:space="0" w:color="auto"/>
        <w:left w:val="none" w:sz="0" w:space="0" w:color="auto"/>
        <w:bottom w:val="none" w:sz="0" w:space="0" w:color="auto"/>
        <w:right w:val="none" w:sz="0" w:space="0" w:color="auto"/>
      </w:divBdr>
    </w:div>
    <w:div w:id="489517933">
      <w:bodyDiv w:val="1"/>
      <w:marLeft w:val="0"/>
      <w:marRight w:val="0"/>
      <w:marTop w:val="0"/>
      <w:marBottom w:val="0"/>
      <w:divBdr>
        <w:top w:val="none" w:sz="0" w:space="0" w:color="auto"/>
        <w:left w:val="none" w:sz="0" w:space="0" w:color="auto"/>
        <w:bottom w:val="none" w:sz="0" w:space="0" w:color="auto"/>
        <w:right w:val="none" w:sz="0" w:space="0" w:color="auto"/>
      </w:divBdr>
    </w:div>
    <w:div w:id="528763793">
      <w:bodyDiv w:val="1"/>
      <w:marLeft w:val="0"/>
      <w:marRight w:val="0"/>
      <w:marTop w:val="0"/>
      <w:marBottom w:val="0"/>
      <w:divBdr>
        <w:top w:val="none" w:sz="0" w:space="0" w:color="auto"/>
        <w:left w:val="none" w:sz="0" w:space="0" w:color="auto"/>
        <w:bottom w:val="none" w:sz="0" w:space="0" w:color="auto"/>
        <w:right w:val="none" w:sz="0" w:space="0" w:color="auto"/>
      </w:divBdr>
    </w:div>
    <w:div w:id="554203829">
      <w:bodyDiv w:val="1"/>
      <w:marLeft w:val="0"/>
      <w:marRight w:val="0"/>
      <w:marTop w:val="0"/>
      <w:marBottom w:val="0"/>
      <w:divBdr>
        <w:top w:val="none" w:sz="0" w:space="0" w:color="auto"/>
        <w:left w:val="none" w:sz="0" w:space="0" w:color="auto"/>
        <w:bottom w:val="none" w:sz="0" w:space="0" w:color="auto"/>
        <w:right w:val="none" w:sz="0" w:space="0" w:color="auto"/>
      </w:divBdr>
    </w:div>
    <w:div w:id="625769343">
      <w:bodyDiv w:val="1"/>
      <w:marLeft w:val="0"/>
      <w:marRight w:val="0"/>
      <w:marTop w:val="0"/>
      <w:marBottom w:val="0"/>
      <w:divBdr>
        <w:top w:val="none" w:sz="0" w:space="0" w:color="auto"/>
        <w:left w:val="none" w:sz="0" w:space="0" w:color="auto"/>
        <w:bottom w:val="none" w:sz="0" w:space="0" w:color="auto"/>
        <w:right w:val="none" w:sz="0" w:space="0" w:color="auto"/>
      </w:divBdr>
    </w:div>
    <w:div w:id="640117982">
      <w:bodyDiv w:val="1"/>
      <w:marLeft w:val="0"/>
      <w:marRight w:val="0"/>
      <w:marTop w:val="0"/>
      <w:marBottom w:val="0"/>
      <w:divBdr>
        <w:top w:val="none" w:sz="0" w:space="0" w:color="auto"/>
        <w:left w:val="none" w:sz="0" w:space="0" w:color="auto"/>
        <w:bottom w:val="none" w:sz="0" w:space="0" w:color="auto"/>
        <w:right w:val="none" w:sz="0" w:space="0" w:color="auto"/>
      </w:divBdr>
    </w:div>
    <w:div w:id="658267258">
      <w:bodyDiv w:val="1"/>
      <w:marLeft w:val="0"/>
      <w:marRight w:val="0"/>
      <w:marTop w:val="0"/>
      <w:marBottom w:val="0"/>
      <w:divBdr>
        <w:top w:val="none" w:sz="0" w:space="0" w:color="auto"/>
        <w:left w:val="none" w:sz="0" w:space="0" w:color="auto"/>
        <w:bottom w:val="none" w:sz="0" w:space="0" w:color="auto"/>
        <w:right w:val="none" w:sz="0" w:space="0" w:color="auto"/>
      </w:divBdr>
    </w:div>
    <w:div w:id="714542819">
      <w:bodyDiv w:val="1"/>
      <w:marLeft w:val="0"/>
      <w:marRight w:val="0"/>
      <w:marTop w:val="0"/>
      <w:marBottom w:val="0"/>
      <w:divBdr>
        <w:top w:val="none" w:sz="0" w:space="0" w:color="auto"/>
        <w:left w:val="none" w:sz="0" w:space="0" w:color="auto"/>
        <w:bottom w:val="none" w:sz="0" w:space="0" w:color="auto"/>
        <w:right w:val="none" w:sz="0" w:space="0" w:color="auto"/>
      </w:divBdr>
    </w:div>
    <w:div w:id="754787131">
      <w:bodyDiv w:val="1"/>
      <w:marLeft w:val="0"/>
      <w:marRight w:val="0"/>
      <w:marTop w:val="0"/>
      <w:marBottom w:val="0"/>
      <w:divBdr>
        <w:top w:val="none" w:sz="0" w:space="0" w:color="auto"/>
        <w:left w:val="none" w:sz="0" w:space="0" w:color="auto"/>
        <w:bottom w:val="none" w:sz="0" w:space="0" w:color="auto"/>
        <w:right w:val="none" w:sz="0" w:space="0" w:color="auto"/>
      </w:divBdr>
    </w:div>
    <w:div w:id="761071994">
      <w:bodyDiv w:val="1"/>
      <w:marLeft w:val="0"/>
      <w:marRight w:val="0"/>
      <w:marTop w:val="0"/>
      <w:marBottom w:val="0"/>
      <w:divBdr>
        <w:top w:val="none" w:sz="0" w:space="0" w:color="auto"/>
        <w:left w:val="none" w:sz="0" w:space="0" w:color="auto"/>
        <w:bottom w:val="none" w:sz="0" w:space="0" w:color="auto"/>
        <w:right w:val="none" w:sz="0" w:space="0" w:color="auto"/>
      </w:divBdr>
    </w:div>
    <w:div w:id="783889541">
      <w:bodyDiv w:val="1"/>
      <w:marLeft w:val="0"/>
      <w:marRight w:val="0"/>
      <w:marTop w:val="0"/>
      <w:marBottom w:val="0"/>
      <w:divBdr>
        <w:top w:val="none" w:sz="0" w:space="0" w:color="auto"/>
        <w:left w:val="none" w:sz="0" w:space="0" w:color="auto"/>
        <w:bottom w:val="none" w:sz="0" w:space="0" w:color="auto"/>
        <w:right w:val="none" w:sz="0" w:space="0" w:color="auto"/>
      </w:divBdr>
    </w:div>
    <w:div w:id="840776011">
      <w:bodyDiv w:val="1"/>
      <w:marLeft w:val="0"/>
      <w:marRight w:val="0"/>
      <w:marTop w:val="0"/>
      <w:marBottom w:val="0"/>
      <w:divBdr>
        <w:top w:val="none" w:sz="0" w:space="0" w:color="auto"/>
        <w:left w:val="none" w:sz="0" w:space="0" w:color="auto"/>
        <w:bottom w:val="none" w:sz="0" w:space="0" w:color="auto"/>
        <w:right w:val="none" w:sz="0" w:space="0" w:color="auto"/>
      </w:divBdr>
    </w:div>
    <w:div w:id="879436589">
      <w:bodyDiv w:val="1"/>
      <w:marLeft w:val="0"/>
      <w:marRight w:val="0"/>
      <w:marTop w:val="0"/>
      <w:marBottom w:val="0"/>
      <w:divBdr>
        <w:top w:val="none" w:sz="0" w:space="0" w:color="auto"/>
        <w:left w:val="none" w:sz="0" w:space="0" w:color="auto"/>
        <w:bottom w:val="none" w:sz="0" w:space="0" w:color="auto"/>
        <w:right w:val="none" w:sz="0" w:space="0" w:color="auto"/>
      </w:divBdr>
    </w:div>
    <w:div w:id="883836510">
      <w:bodyDiv w:val="1"/>
      <w:marLeft w:val="0"/>
      <w:marRight w:val="0"/>
      <w:marTop w:val="0"/>
      <w:marBottom w:val="0"/>
      <w:divBdr>
        <w:top w:val="none" w:sz="0" w:space="0" w:color="auto"/>
        <w:left w:val="none" w:sz="0" w:space="0" w:color="auto"/>
        <w:bottom w:val="none" w:sz="0" w:space="0" w:color="auto"/>
        <w:right w:val="none" w:sz="0" w:space="0" w:color="auto"/>
      </w:divBdr>
    </w:div>
    <w:div w:id="892814932">
      <w:bodyDiv w:val="1"/>
      <w:marLeft w:val="0"/>
      <w:marRight w:val="0"/>
      <w:marTop w:val="0"/>
      <w:marBottom w:val="0"/>
      <w:divBdr>
        <w:top w:val="none" w:sz="0" w:space="0" w:color="auto"/>
        <w:left w:val="none" w:sz="0" w:space="0" w:color="auto"/>
        <w:bottom w:val="none" w:sz="0" w:space="0" w:color="auto"/>
        <w:right w:val="none" w:sz="0" w:space="0" w:color="auto"/>
      </w:divBdr>
    </w:div>
    <w:div w:id="903295519">
      <w:bodyDiv w:val="1"/>
      <w:marLeft w:val="0"/>
      <w:marRight w:val="0"/>
      <w:marTop w:val="0"/>
      <w:marBottom w:val="0"/>
      <w:divBdr>
        <w:top w:val="none" w:sz="0" w:space="0" w:color="auto"/>
        <w:left w:val="none" w:sz="0" w:space="0" w:color="auto"/>
        <w:bottom w:val="none" w:sz="0" w:space="0" w:color="auto"/>
        <w:right w:val="none" w:sz="0" w:space="0" w:color="auto"/>
      </w:divBdr>
    </w:div>
    <w:div w:id="909121005">
      <w:bodyDiv w:val="1"/>
      <w:marLeft w:val="0"/>
      <w:marRight w:val="0"/>
      <w:marTop w:val="0"/>
      <w:marBottom w:val="0"/>
      <w:divBdr>
        <w:top w:val="none" w:sz="0" w:space="0" w:color="auto"/>
        <w:left w:val="none" w:sz="0" w:space="0" w:color="auto"/>
        <w:bottom w:val="none" w:sz="0" w:space="0" w:color="auto"/>
        <w:right w:val="none" w:sz="0" w:space="0" w:color="auto"/>
      </w:divBdr>
    </w:div>
    <w:div w:id="909727270">
      <w:bodyDiv w:val="1"/>
      <w:marLeft w:val="0"/>
      <w:marRight w:val="0"/>
      <w:marTop w:val="0"/>
      <w:marBottom w:val="0"/>
      <w:divBdr>
        <w:top w:val="none" w:sz="0" w:space="0" w:color="auto"/>
        <w:left w:val="none" w:sz="0" w:space="0" w:color="auto"/>
        <w:bottom w:val="none" w:sz="0" w:space="0" w:color="auto"/>
        <w:right w:val="none" w:sz="0" w:space="0" w:color="auto"/>
      </w:divBdr>
    </w:div>
    <w:div w:id="1000625442">
      <w:bodyDiv w:val="1"/>
      <w:marLeft w:val="0"/>
      <w:marRight w:val="0"/>
      <w:marTop w:val="0"/>
      <w:marBottom w:val="0"/>
      <w:divBdr>
        <w:top w:val="none" w:sz="0" w:space="0" w:color="auto"/>
        <w:left w:val="none" w:sz="0" w:space="0" w:color="auto"/>
        <w:bottom w:val="none" w:sz="0" w:space="0" w:color="auto"/>
        <w:right w:val="none" w:sz="0" w:space="0" w:color="auto"/>
      </w:divBdr>
    </w:div>
    <w:div w:id="1028339655">
      <w:bodyDiv w:val="1"/>
      <w:marLeft w:val="0"/>
      <w:marRight w:val="0"/>
      <w:marTop w:val="0"/>
      <w:marBottom w:val="0"/>
      <w:divBdr>
        <w:top w:val="none" w:sz="0" w:space="0" w:color="auto"/>
        <w:left w:val="none" w:sz="0" w:space="0" w:color="auto"/>
        <w:bottom w:val="none" w:sz="0" w:space="0" w:color="auto"/>
        <w:right w:val="none" w:sz="0" w:space="0" w:color="auto"/>
      </w:divBdr>
    </w:div>
    <w:div w:id="1055011341">
      <w:bodyDiv w:val="1"/>
      <w:marLeft w:val="0"/>
      <w:marRight w:val="0"/>
      <w:marTop w:val="0"/>
      <w:marBottom w:val="0"/>
      <w:divBdr>
        <w:top w:val="none" w:sz="0" w:space="0" w:color="auto"/>
        <w:left w:val="none" w:sz="0" w:space="0" w:color="auto"/>
        <w:bottom w:val="none" w:sz="0" w:space="0" w:color="auto"/>
        <w:right w:val="none" w:sz="0" w:space="0" w:color="auto"/>
      </w:divBdr>
    </w:div>
    <w:div w:id="1068769312">
      <w:bodyDiv w:val="1"/>
      <w:marLeft w:val="0"/>
      <w:marRight w:val="0"/>
      <w:marTop w:val="0"/>
      <w:marBottom w:val="0"/>
      <w:divBdr>
        <w:top w:val="none" w:sz="0" w:space="0" w:color="auto"/>
        <w:left w:val="none" w:sz="0" w:space="0" w:color="auto"/>
        <w:bottom w:val="none" w:sz="0" w:space="0" w:color="auto"/>
        <w:right w:val="none" w:sz="0" w:space="0" w:color="auto"/>
      </w:divBdr>
    </w:div>
    <w:div w:id="1153525127">
      <w:bodyDiv w:val="1"/>
      <w:marLeft w:val="0"/>
      <w:marRight w:val="0"/>
      <w:marTop w:val="0"/>
      <w:marBottom w:val="0"/>
      <w:divBdr>
        <w:top w:val="none" w:sz="0" w:space="0" w:color="auto"/>
        <w:left w:val="none" w:sz="0" w:space="0" w:color="auto"/>
        <w:bottom w:val="none" w:sz="0" w:space="0" w:color="auto"/>
        <w:right w:val="none" w:sz="0" w:space="0" w:color="auto"/>
      </w:divBdr>
    </w:div>
    <w:div w:id="1193222459">
      <w:bodyDiv w:val="1"/>
      <w:marLeft w:val="0"/>
      <w:marRight w:val="0"/>
      <w:marTop w:val="0"/>
      <w:marBottom w:val="0"/>
      <w:divBdr>
        <w:top w:val="none" w:sz="0" w:space="0" w:color="auto"/>
        <w:left w:val="none" w:sz="0" w:space="0" w:color="auto"/>
        <w:bottom w:val="none" w:sz="0" w:space="0" w:color="auto"/>
        <w:right w:val="none" w:sz="0" w:space="0" w:color="auto"/>
      </w:divBdr>
    </w:div>
    <w:div w:id="1258632586">
      <w:bodyDiv w:val="1"/>
      <w:marLeft w:val="0"/>
      <w:marRight w:val="0"/>
      <w:marTop w:val="0"/>
      <w:marBottom w:val="0"/>
      <w:divBdr>
        <w:top w:val="none" w:sz="0" w:space="0" w:color="auto"/>
        <w:left w:val="none" w:sz="0" w:space="0" w:color="auto"/>
        <w:bottom w:val="none" w:sz="0" w:space="0" w:color="auto"/>
        <w:right w:val="none" w:sz="0" w:space="0" w:color="auto"/>
      </w:divBdr>
    </w:div>
    <w:div w:id="1354453059">
      <w:bodyDiv w:val="1"/>
      <w:marLeft w:val="0"/>
      <w:marRight w:val="0"/>
      <w:marTop w:val="0"/>
      <w:marBottom w:val="0"/>
      <w:divBdr>
        <w:top w:val="none" w:sz="0" w:space="0" w:color="auto"/>
        <w:left w:val="none" w:sz="0" w:space="0" w:color="auto"/>
        <w:bottom w:val="none" w:sz="0" w:space="0" w:color="auto"/>
        <w:right w:val="none" w:sz="0" w:space="0" w:color="auto"/>
      </w:divBdr>
    </w:div>
    <w:div w:id="1420979681">
      <w:bodyDiv w:val="1"/>
      <w:marLeft w:val="0"/>
      <w:marRight w:val="0"/>
      <w:marTop w:val="0"/>
      <w:marBottom w:val="0"/>
      <w:divBdr>
        <w:top w:val="none" w:sz="0" w:space="0" w:color="auto"/>
        <w:left w:val="none" w:sz="0" w:space="0" w:color="auto"/>
        <w:bottom w:val="none" w:sz="0" w:space="0" w:color="auto"/>
        <w:right w:val="none" w:sz="0" w:space="0" w:color="auto"/>
      </w:divBdr>
    </w:div>
    <w:div w:id="1537618891">
      <w:bodyDiv w:val="1"/>
      <w:marLeft w:val="0"/>
      <w:marRight w:val="0"/>
      <w:marTop w:val="0"/>
      <w:marBottom w:val="0"/>
      <w:divBdr>
        <w:top w:val="none" w:sz="0" w:space="0" w:color="auto"/>
        <w:left w:val="none" w:sz="0" w:space="0" w:color="auto"/>
        <w:bottom w:val="none" w:sz="0" w:space="0" w:color="auto"/>
        <w:right w:val="none" w:sz="0" w:space="0" w:color="auto"/>
      </w:divBdr>
    </w:div>
    <w:div w:id="1585186576">
      <w:bodyDiv w:val="1"/>
      <w:marLeft w:val="0"/>
      <w:marRight w:val="0"/>
      <w:marTop w:val="0"/>
      <w:marBottom w:val="0"/>
      <w:divBdr>
        <w:top w:val="none" w:sz="0" w:space="0" w:color="auto"/>
        <w:left w:val="none" w:sz="0" w:space="0" w:color="auto"/>
        <w:bottom w:val="none" w:sz="0" w:space="0" w:color="auto"/>
        <w:right w:val="none" w:sz="0" w:space="0" w:color="auto"/>
      </w:divBdr>
    </w:div>
    <w:div w:id="1588924592">
      <w:bodyDiv w:val="1"/>
      <w:marLeft w:val="0"/>
      <w:marRight w:val="0"/>
      <w:marTop w:val="0"/>
      <w:marBottom w:val="0"/>
      <w:divBdr>
        <w:top w:val="none" w:sz="0" w:space="0" w:color="auto"/>
        <w:left w:val="none" w:sz="0" w:space="0" w:color="auto"/>
        <w:bottom w:val="none" w:sz="0" w:space="0" w:color="auto"/>
        <w:right w:val="none" w:sz="0" w:space="0" w:color="auto"/>
      </w:divBdr>
    </w:div>
    <w:div w:id="1664043400">
      <w:bodyDiv w:val="1"/>
      <w:marLeft w:val="0"/>
      <w:marRight w:val="0"/>
      <w:marTop w:val="0"/>
      <w:marBottom w:val="0"/>
      <w:divBdr>
        <w:top w:val="none" w:sz="0" w:space="0" w:color="auto"/>
        <w:left w:val="none" w:sz="0" w:space="0" w:color="auto"/>
        <w:bottom w:val="none" w:sz="0" w:space="0" w:color="auto"/>
        <w:right w:val="none" w:sz="0" w:space="0" w:color="auto"/>
      </w:divBdr>
    </w:div>
    <w:div w:id="1778214916">
      <w:bodyDiv w:val="1"/>
      <w:marLeft w:val="0"/>
      <w:marRight w:val="0"/>
      <w:marTop w:val="0"/>
      <w:marBottom w:val="0"/>
      <w:divBdr>
        <w:top w:val="none" w:sz="0" w:space="0" w:color="auto"/>
        <w:left w:val="none" w:sz="0" w:space="0" w:color="auto"/>
        <w:bottom w:val="none" w:sz="0" w:space="0" w:color="auto"/>
        <w:right w:val="none" w:sz="0" w:space="0" w:color="auto"/>
      </w:divBdr>
    </w:div>
    <w:div w:id="1822038260">
      <w:bodyDiv w:val="1"/>
      <w:marLeft w:val="0"/>
      <w:marRight w:val="0"/>
      <w:marTop w:val="0"/>
      <w:marBottom w:val="0"/>
      <w:divBdr>
        <w:top w:val="none" w:sz="0" w:space="0" w:color="auto"/>
        <w:left w:val="none" w:sz="0" w:space="0" w:color="auto"/>
        <w:bottom w:val="none" w:sz="0" w:space="0" w:color="auto"/>
        <w:right w:val="none" w:sz="0" w:space="0" w:color="auto"/>
      </w:divBdr>
    </w:div>
    <w:div w:id="19612959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i.org/10.1080/03055690601068345" TargetMode="External"/><Relationship Id="rId20" Type="http://schemas.openxmlformats.org/officeDocument/2006/relationships/theme" Target="theme/theme1.xml"/><Relationship Id="rId10" Type="http://schemas.openxmlformats.org/officeDocument/2006/relationships/hyperlink" Target="http://dx.doi.org/10.14689/ejer.2016.66.6" TargetMode="External"/><Relationship Id="rId11" Type="http://schemas.openxmlformats.org/officeDocument/2006/relationships/hyperlink" Target="https://doi.org/10.1177/0002716217729471" TargetMode="External"/><Relationship Id="rId12" Type="http://schemas.openxmlformats.org/officeDocument/2006/relationships/hyperlink" Target="https://www.researchgate.net/publication/381489564_The_Impact_of_Parental_Involvement_on_Children" TargetMode="External"/><Relationship Id="rId13" Type="http://schemas.openxmlformats.org/officeDocument/2006/relationships/hyperlink" Target="https://doi.org/10.1016/j.childyouth.2019.104705" TargetMode="External"/><Relationship Id="rId14" Type="http://schemas.openxmlformats.org/officeDocument/2006/relationships/hyperlink" Target="https://doi.org/10.55885/jerp.v2i1.156" TargetMode="External"/><Relationship Id="rId15" Type="http://schemas.openxmlformats.org/officeDocument/2006/relationships/hyperlink" Target="https://www.adi.org/journal/2023ss/XiongEtAlSS23.pdf" TargetMode="External"/><Relationship Id="rId16" Type="http://schemas.openxmlformats.org/officeDocument/2006/relationships/hyperlink" Target="https://doi.org/10.3390/su151612308"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7054-EADE-0047-B1EC-BD508D573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10</Pages>
  <Words>3171</Words>
  <Characters>18080</Characters>
  <Application>Microsoft Macintosh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ASPASIA KOLOKYTHA</dc:creator>
  <cp:keywords/>
  <dc:description/>
  <cp:lastModifiedBy>ASPASIA KOLOKYTHA</cp:lastModifiedBy>
  <cp:revision>190</cp:revision>
  <dcterms:created xsi:type="dcterms:W3CDTF">2024-12-18T17:42:00Z</dcterms:created>
  <dcterms:modified xsi:type="dcterms:W3CDTF">2025-01-15T16:18:00Z</dcterms:modified>
</cp:coreProperties>
</file>