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0872" w14:textId="5E97B852" w:rsidR="0098648D" w:rsidRPr="00280C8E" w:rsidRDefault="0098648D" w:rsidP="00540816">
      <w:pPr>
        <w:spacing w:before="100" w:beforeAutospacing="1" w:after="100" w:afterAutospacing="1" w:line="240" w:lineRule="auto"/>
        <w:jc w:val="center"/>
        <w:rPr>
          <w:rFonts w:eastAsia="Times New Roman" w:cstheme="minorHAnsi"/>
          <w:b/>
          <w:sz w:val="28"/>
          <w:szCs w:val="28"/>
          <w:lang w:eastAsia="el-GR"/>
        </w:rPr>
      </w:pPr>
      <w:r w:rsidRPr="00280C8E">
        <w:rPr>
          <w:rFonts w:eastAsia="Times New Roman" w:cstheme="minorHAnsi"/>
          <w:b/>
          <w:sz w:val="28"/>
          <w:szCs w:val="28"/>
          <w:lang w:eastAsia="el-GR"/>
        </w:rPr>
        <w:t>Συμμετοχή μαθητών</w:t>
      </w:r>
      <w:r w:rsidR="00587F67">
        <w:rPr>
          <w:rFonts w:eastAsia="Times New Roman" w:cstheme="minorHAnsi"/>
          <w:b/>
          <w:sz w:val="28"/>
          <w:szCs w:val="28"/>
          <w:lang w:eastAsia="el-GR"/>
        </w:rPr>
        <w:t>/τριών</w:t>
      </w:r>
      <w:r w:rsidRPr="00280C8E">
        <w:rPr>
          <w:rFonts w:eastAsia="Times New Roman" w:cstheme="minorHAnsi"/>
          <w:b/>
          <w:sz w:val="28"/>
          <w:szCs w:val="28"/>
          <w:lang w:eastAsia="el-GR"/>
        </w:rPr>
        <w:t xml:space="preserve"> σε δράσεις τέχνης, πολιτισμού, αθλητισμού και μαθηματικών: Σχεδιασμός, υλοποίηση και αξιολόγηση μιας ολιστικής εκπαιδευτικής παρέμβασης</w:t>
      </w:r>
    </w:p>
    <w:p w14:paraId="3F65BCA7" w14:textId="77777777" w:rsidR="0098648D" w:rsidRPr="00280C8E" w:rsidRDefault="0098648D" w:rsidP="00540816">
      <w:pPr>
        <w:spacing w:after="0" w:line="240" w:lineRule="auto"/>
        <w:jc w:val="center"/>
        <w:rPr>
          <w:rFonts w:eastAsia="Times New Roman" w:cstheme="minorHAnsi"/>
          <w:sz w:val="24"/>
          <w:szCs w:val="24"/>
          <w:lang w:eastAsia="el-GR"/>
        </w:rPr>
      </w:pPr>
    </w:p>
    <w:p w14:paraId="3D033832" w14:textId="77777777" w:rsidR="00F730D5" w:rsidRDefault="006B700F" w:rsidP="00540816">
      <w:pPr>
        <w:spacing w:line="240" w:lineRule="auto"/>
        <w:jc w:val="center"/>
        <w:rPr>
          <w:rFonts w:ascii="Calibri" w:hAnsi="Calibri" w:cs="Calibri"/>
          <w:b/>
          <w:bCs/>
          <w:color w:val="000000"/>
          <w:sz w:val="24"/>
          <w:lang w:eastAsia="el-GR"/>
        </w:rPr>
      </w:pPr>
      <w:r>
        <w:rPr>
          <w:rFonts w:ascii="Calibri" w:hAnsi="Calibri" w:cs="Calibri"/>
          <w:b/>
          <w:bCs/>
          <w:color w:val="000000"/>
          <w:sz w:val="24"/>
          <w:lang w:eastAsia="el-GR"/>
        </w:rPr>
        <w:t xml:space="preserve">Γάκη </w:t>
      </w:r>
      <w:proofErr w:type="spellStart"/>
      <w:r>
        <w:rPr>
          <w:rFonts w:ascii="Calibri" w:hAnsi="Calibri" w:cs="Calibri"/>
          <w:b/>
          <w:bCs/>
          <w:color w:val="000000"/>
          <w:sz w:val="24"/>
          <w:lang w:eastAsia="el-GR"/>
        </w:rPr>
        <w:t>Μαργιολή</w:t>
      </w:r>
      <w:proofErr w:type="spellEnd"/>
      <w:r w:rsidR="005C30BF" w:rsidRPr="006832BB">
        <w:rPr>
          <w:rFonts w:ascii="Calibri" w:hAnsi="Calibri" w:cs="Calibri"/>
          <w:b/>
          <w:bCs/>
          <w:color w:val="000000"/>
          <w:sz w:val="24"/>
          <w:lang w:eastAsia="el-GR"/>
        </w:rPr>
        <w:t xml:space="preserve"> </w:t>
      </w:r>
    </w:p>
    <w:p w14:paraId="3F8FB4B9" w14:textId="77777777" w:rsidR="00F730D5" w:rsidRDefault="00F730D5" w:rsidP="00540816">
      <w:pPr>
        <w:spacing w:line="240" w:lineRule="auto"/>
        <w:jc w:val="center"/>
        <w:rPr>
          <w:rFonts w:ascii="Calibri" w:eastAsia="Times" w:hAnsi="Calibri" w:cs="Calibri"/>
        </w:rPr>
      </w:pPr>
      <w:r>
        <w:rPr>
          <w:rFonts w:ascii="Calibri" w:eastAsia="Times" w:hAnsi="Calibri" w:cs="Calibri"/>
        </w:rPr>
        <w:t>Εκπαιδευτικός ΠΕ 91.01</w:t>
      </w:r>
      <w:r w:rsidR="005C30BF" w:rsidRPr="006832BB">
        <w:rPr>
          <w:rFonts w:ascii="Calibri" w:eastAsia="Times" w:hAnsi="Calibri" w:cs="Calibri"/>
        </w:rPr>
        <w:t xml:space="preserve">, </w:t>
      </w:r>
      <w:proofErr w:type="spellStart"/>
      <w:r w:rsidR="00142A45">
        <w:t>M.Ed</w:t>
      </w:r>
      <w:proofErr w:type="spellEnd"/>
      <w:r w:rsidR="00142A45">
        <w:t xml:space="preserve">., </w:t>
      </w:r>
      <w:r>
        <w:rPr>
          <w:rFonts w:ascii="Calibri" w:eastAsia="Times" w:hAnsi="Calibri" w:cs="Calibri"/>
        </w:rPr>
        <w:t>Πρωτοβάθμια Εκπαίδευση Καρδίτσας</w:t>
      </w:r>
    </w:p>
    <w:p w14:paraId="0714FFE4" w14:textId="77777777" w:rsidR="005C30BF" w:rsidRPr="00F730D5" w:rsidRDefault="00F730D5" w:rsidP="00540816">
      <w:pPr>
        <w:spacing w:line="240" w:lineRule="auto"/>
        <w:jc w:val="center"/>
        <w:rPr>
          <w:rFonts w:ascii="Calibri" w:hAnsi="Calibri" w:cs="Calibri"/>
        </w:rPr>
      </w:pPr>
      <w:r>
        <w:rPr>
          <w:rFonts w:ascii="Calibri" w:hAnsi="Calibri" w:cs="Calibri"/>
          <w:lang w:val="en-US"/>
        </w:rPr>
        <w:t>margigaki</w:t>
      </w:r>
      <w:r w:rsidRPr="00F730D5">
        <w:rPr>
          <w:rFonts w:ascii="Calibri" w:hAnsi="Calibri" w:cs="Calibri"/>
        </w:rPr>
        <w:t>@</w:t>
      </w:r>
      <w:r>
        <w:rPr>
          <w:rFonts w:ascii="Calibri" w:hAnsi="Calibri" w:cs="Calibri"/>
          <w:lang w:val="en-US"/>
        </w:rPr>
        <w:t>sch</w:t>
      </w:r>
      <w:r w:rsidRPr="00F730D5">
        <w:rPr>
          <w:rFonts w:ascii="Calibri" w:hAnsi="Calibri" w:cs="Calibri"/>
        </w:rPr>
        <w:t>.</w:t>
      </w:r>
      <w:r>
        <w:rPr>
          <w:rFonts w:ascii="Calibri" w:hAnsi="Calibri" w:cs="Calibri"/>
          <w:lang w:val="en-US"/>
        </w:rPr>
        <w:t>gr</w:t>
      </w:r>
    </w:p>
    <w:p w14:paraId="4BA989C5" w14:textId="77777777" w:rsidR="005C30BF" w:rsidRPr="0026520E" w:rsidRDefault="005C30BF" w:rsidP="00540816">
      <w:pPr>
        <w:spacing w:line="240" w:lineRule="auto"/>
        <w:jc w:val="center"/>
        <w:rPr>
          <w:rFonts w:ascii="Calibri" w:eastAsia="Times" w:hAnsi="Calibri" w:cs="Calibri"/>
          <w:sz w:val="28"/>
          <w:szCs w:val="28"/>
        </w:rPr>
      </w:pPr>
    </w:p>
    <w:p w14:paraId="42173065" w14:textId="77777777" w:rsidR="00F730D5" w:rsidRDefault="00F730D5" w:rsidP="00540816">
      <w:pPr>
        <w:spacing w:line="240" w:lineRule="auto"/>
        <w:jc w:val="center"/>
        <w:rPr>
          <w:rFonts w:ascii="Calibri" w:hAnsi="Calibri" w:cs="Calibri"/>
          <w:b/>
          <w:bCs/>
          <w:color w:val="000000"/>
          <w:sz w:val="24"/>
          <w:lang w:eastAsia="el-GR"/>
        </w:rPr>
      </w:pPr>
      <w:r>
        <w:rPr>
          <w:rFonts w:ascii="Calibri" w:hAnsi="Calibri" w:cs="Calibri"/>
          <w:b/>
          <w:bCs/>
          <w:color w:val="000000"/>
          <w:sz w:val="24"/>
          <w:lang w:eastAsia="el-GR"/>
        </w:rPr>
        <w:t>Τσιχτής Ευάγγελος</w:t>
      </w:r>
    </w:p>
    <w:p w14:paraId="0EA866C4" w14:textId="77777777" w:rsidR="00F730D5" w:rsidRDefault="005C30BF" w:rsidP="00540816">
      <w:pPr>
        <w:spacing w:line="240" w:lineRule="auto"/>
        <w:jc w:val="center"/>
        <w:rPr>
          <w:rFonts w:ascii="Calibri" w:eastAsia="Times" w:hAnsi="Calibri" w:cs="Calibri"/>
        </w:rPr>
      </w:pPr>
      <w:r w:rsidRPr="006832BB">
        <w:rPr>
          <w:rFonts w:ascii="Calibri" w:hAnsi="Calibri" w:cs="Calibri"/>
          <w:b/>
          <w:bCs/>
          <w:color w:val="000000"/>
          <w:sz w:val="24"/>
          <w:lang w:eastAsia="el-GR"/>
        </w:rPr>
        <w:t xml:space="preserve"> </w:t>
      </w:r>
      <w:r w:rsidR="00F730D5">
        <w:rPr>
          <w:rFonts w:ascii="Calibri" w:eastAsia="Times" w:hAnsi="Calibri" w:cs="Calibri"/>
        </w:rPr>
        <w:t>Εκπαιδευτικός ΠΕ 70</w:t>
      </w:r>
      <w:r w:rsidR="00F730D5" w:rsidRPr="006832BB">
        <w:rPr>
          <w:rFonts w:ascii="Calibri" w:eastAsia="Times" w:hAnsi="Calibri" w:cs="Calibri"/>
        </w:rPr>
        <w:t xml:space="preserve">, </w:t>
      </w:r>
      <w:proofErr w:type="spellStart"/>
      <w:r w:rsidR="00142A45">
        <w:t>M.Ed</w:t>
      </w:r>
      <w:proofErr w:type="spellEnd"/>
      <w:r w:rsidR="00142A45">
        <w:t xml:space="preserve">., </w:t>
      </w:r>
      <w:r w:rsidR="00F730D5">
        <w:rPr>
          <w:rFonts w:ascii="Calibri" w:eastAsia="Times" w:hAnsi="Calibri" w:cs="Calibri"/>
        </w:rPr>
        <w:t>Πρωτοβάθμια Εκπαίδευση Καρδίτσας</w:t>
      </w:r>
    </w:p>
    <w:p w14:paraId="6D7B1909" w14:textId="77777777" w:rsidR="00F730D5" w:rsidRPr="00F730D5" w:rsidRDefault="00E42A65" w:rsidP="00540816">
      <w:pPr>
        <w:spacing w:line="240" w:lineRule="auto"/>
        <w:jc w:val="center"/>
        <w:rPr>
          <w:rFonts w:ascii="Calibri" w:hAnsi="Calibri" w:cs="Calibri"/>
        </w:rPr>
      </w:pPr>
      <w:r>
        <w:rPr>
          <w:rFonts w:ascii="Calibri" w:hAnsi="Calibri" w:cs="Calibri"/>
          <w:lang w:val="en-US"/>
        </w:rPr>
        <w:t>etsichti</w:t>
      </w:r>
      <w:r w:rsidR="00260EBC">
        <w:rPr>
          <w:rFonts w:ascii="Calibri" w:hAnsi="Calibri" w:cs="Calibri"/>
          <w:lang w:val="en-US"/>
        </w:rPr>
        <w:t>s</w:t>
      </w:r>
      <w:r w:rsidR="00F730D5" w:rsidRPr="00F730D5">
        <w:rPr>
          <w:rFonts w:ascii="Calibri" w:hAnsi="Calibri" w:cs="Calibri"/>
        </w:rPr>
        <w:t>@</w:t>
      </w:r>
      <w:r w:rsidR="00F730D5">
        <w:rPr>
          <w:rFonts w:ascii="Calibri" w:hAnsi="Calibri" w:cs="Calibri"/>
          <w:lang w:val="en-US"/>
        </w:rPr>
        <w:t>sch</w:t>
      </w:r>
      <w:r w:rsidR="00F730D5" w:rsidRPr="00F730D5">
        <w:rPr>
          <w:rFonts w:ascii="Calibri" w:hAnsi="Calibri" w:cs="Calibri"/>
        </w:rPr>
        <w:t>.</w:t>
      </w:r>
      <w:r w:rsidR="00F730D5">
        <w:rPr>
          <w:rFonts w:ascii="Calibri" w:hAnsi="Calibri" w:cs="Calibri"/>
          <w:lang w:val="en-US"/>
        </w:rPr>
        <w:t>gr</w:t>
      </w:r>
    </w:p>
    <w:p w14:paraId="267C5213" w14:textId="77777777" w:rsidR="0098648D" w:rsidRPr="00280C8E" w:rsidRDefault="0098648D" w:rsidP="00540816">
      <w:pPr>
        <w:spacing w:line="240" w:lineRule="auto"/>
        <w:jc w:val="center"/>
        <w:rPr>
          <w:rFonts w:eastAsia="Times New Roman" w:cstheme="minorHAnsi"/>
          <w:lang w:eastAsia="el-GR"/>
        </w:rPr>
      </w:pPr>
    </w:p>
    <w:p w14:paraId="0A657AA6" w14:textId="77777777" w:rsidR="0098648D" w:rsidRPr="001C71B7" w:rsidRDefault="0098648D" w:rsidP="001C71B7">
      <w:pPr>
        <w:spacing w:after="0" w:line="240" w:lineRule="auto"/>
        <w:ind w:firstLine="284"/>
        <w:jc w:val="both"/>
        <w:rPr>
          <w:b/>
          <w:lang w:eastAsia="el-GR"/>
        </w:rPr>
      </w:pPr>
      <w:r w:rsidRPr="001C71B7">
        <w:rPr>
          <w:b/>
          <w:lang w:eastAsia="el-GR"/>
        </w:rPr>
        <w:t>Περίληψη</w:t>
      </w:r>
    </w:p>
    <w:p w14:paraId="44AED795" w14:textId="748BD4F2" w:rsidR="00726F77" w:rsidRPr="00726F77" w:rsidRDefault="00726F77" w:rsidP="004D69EE">
      <w:pPr>
        <w:spacing w:after="0" w:line="240" w:lineRule="auto"/>
        <w:ind w:firstLine="284"/>
        <w:jc w:val="both"/>
        <w:rPr>
          <w:lang w:eastAsia="el-GR"/>
        </w:rPr>
      </w:pPr>
      <w:r w:rsidRPr="00726F77">
        <w:rPr>
          <w:lang w:eastAsia="el-GR"/>
        </w:rPr>
        <w:t xml:space="preserve">Η παρούσα εργασία διερευνά τον σχεδιασμό, την υλοποίηση και την αξιολόγηση διαθεματικών εκπαιδευτικών δράσεων στην πρωτοβάθμια εκπαίδευση, με στόχο την ενίσχυση της βιωματικής μάθησης και της ενεργού συμμετοχής των </w:t>
      </w:r>
      <w:r w:rsidRPr="00CF4991">
        <w:rPr>
          <w:color w:val="FF0000"/>
          <w:lang w:eastAsia="el-GR"/>
        </w:rPr>
        <w:t>μαθητών</w:t>
      </w:r>
      <w:r w:rsidRPr="00726F77">
        <w:rPr>
          <w:lang w:eastAsia="el-GR"/>
        </w:rPr>
        <w:t xml:space="preserve">. Οι δράσεις περιλάμβαναν δραστηριότητες τέχνης, πολιτισμού, αθλητισμού και μαθηματικών, ενταγμένες σε ένα </w:t>
      </w:r>
      <w:proofErr w:type="spellStart"/>
      <w:r w:rsidRPr="00726F77">
        <w:rPr>
          <w:lang w:eastAsia="el-GR"/>
        </w:rPr>
        <w:t>μαθητοκεντρικό</w:t>
      </w:r>
      <w:proofErr w:type="spellEnd"/>
      <w:r w:rsidRPr="00726F77">
        <w:rPr>
          <w:lang w:eastAsia="el-GR"/>
        </w:rPr>
        <w:t xml:space="preserve"> πλαίσιο διδασκαλίας. Η έρευνα βασίστηκε σε μικτή μεθοδολογική προσέγγιση, με τη συμμετοχή 17 εκπαιδευτικών δημοτικού σχολείου. Τα δεδομένα συλλέχθηκαν μέσω ερωτηματολογίου και ποιοτικών εργαλείων και αναλύθηκαν με περιγραφική στατιστική και θεματική ανάλυση. Τα αποτελέσματα κατέδειξαν υψηλό επίπεδο ικανοποίησης των εκπαιδευτικών (88,3%) και σημαντική ενίσχυση της συμμετοχής, της συνεργασίας, της δημιουργικότητας και της κριτικής σκέψης των </w:t>
      </w:r>
      <w:r w:rsidRPr="00AE3AB4">
        <w:rPr>
          <w:color w:val="FF0000"/>
          <w:lang w:eastAsia="el-GR"/>
        </w:rPr>
        <w:t>μαθητών</w:t>
      </w:r>
      <w:r w:rsidRPr="00726F77">
        <w:rPr>
          <w:lang w:eastAsia="el-GR"/>
        </w:rPr>
        <w:t>. Τα ευρήματα αναδεικνύουν τη συμβολή των διαθεματικών και βιωματικών προσεγγίσεων στη βελτίωση της μαθησιακής διαδικασίας και υπογραμμίζουν την ανάγκη συστηματικής ένταξης τέτοιων πρακτικών στο σχολικό πρόγραμμα.</w:t>
      </w:r>
    </w:p>
    <w:p w14:paraId="24AA2F1E" w14:textId="77777777" w:rsidR="0098648D" w:rsidRPr="003951ED" w:rsidRDefault="0098648D" w:rsidP="00850B3B">
      <w:pPr>
        <w:spacing w:before="240" w:after="0" w:line="240" w:lineRule="auto"/>
        <w:ind w:firstLine="284"/>
        <w:jc w:val="both"/>
        <w:rPr>
          <w:lang w:eastAsia="el-GR"/>
        </w:rPr>
      </w:pPr>
      <w:r w:rsidRPr="001C71B7">
        <w:rPr>
          <w:b/>
          <w:lang w:eastAsia="el-GR"/>
        </w:rPr>
        <w:t>Λέξεις-κλειδιά:</w:t>
      </w:r>
      <w:r w:rsidRPr="003951ED">
        <w:rPr>
          <w:lang w:eastAsia="el-GR"/>
        </w:rPr>
        <w:t xml:space="preserve"> </w:t>
      </w:r>
      <w:r w:rsidR="0048174C" w:rsidRPr="003951ED">
        <w:rPr>
          <w:lang w:eastAsia="el-GR"/>
        </w:rPr>
        <w:t xml:space="preserve">εκπαιδευτικές δράσεις, </w:t>
      </w:r>
      <w:r w:rsidRPr="003951ED">
        <w:rPr>
          <w:lang w:eastAsia="el-GR"/>
        </w:rPr>
        <w:t>βιωματική μάθηση, διαθεματικότητα, μαθητική συμμετοχή, πρωτοβάθμια εκπαίδευση</w:t>
      </w:r>
      <w:r w:rsidR="0048174C" w:rsidRPr="003951ED">
        <w:rPr>
          <w:lang w:eastAsia="el-GR"/>
        </w:rPr>
        <w:t xml:space="preserve"> </w:t>
      </w:r>
    </w:p>
    <w:p w14:paraId="2FDE55B6" w14:textId="77777777" w:rsidR="001C71B7" w:rsidRDefault="0098648D" w:rsidP="001C71B7">
      <w:pPr>
        <w:spacing w:before="240" w:after="0" w:line="240" w:lineRule="auto"/>
        <w:ind w:firstLine="284"/>
        <w:jc w:val="both"/>
        <w:rPr>
          <w:b/>
          <w:lang w:eastAsia="el-GR"/>
        </w:rPr>
      </w:pPr>
      <w:r w:rsidRPr="001C71B7">
        <w:rPr>
          <w:b/>
          <w:lang w:eastAsia="el-GR"/>
        </w:rPr>
        <w:t>Εισαγωγή</w:t>
      </w:r>
    </w:p>
    <w:p w14:paraId="7F8AE95A" w14:textId="6707B5CB" w:rsidR="0098648D" w:rsidRPr="003951ED" w:rsidRDefault="0098648D" w:rsidP="001C71B7">
      <w:pPr>
        <w:spacing w:after="0" w:line="240" w:lineRule="auto"/>
        <w:ind w:firstLine="284"/>
        <w:jc w:val="both"/>
        <w:rPr>
          <w:lang w:eastAsia="el-GR"/>
        </w:rPr>
      </w:pPr>
      <w:r w:rsidRPr="003951ED">
        <w:rPr>
          <w:lang w:eastAsia="el-GR"/>
        </w:rPr>
        <w:t xml:space="preserve">Η σύγχρονη εκπαιδευτική πραγματικότητα χαρακτηρίζεται από τη σταδιακή μετάβαση από το παραδοσιακό, δασκαλοκεντρικό μοντέλο διδασκαλίας σε </w:t>
      </w:r>
      <w:proofErr w:type="spellStart"/>
      <w:r w:rsidRPr="003951ED">
        <w:rPr>
          <w:lang w:eastAsia="el-GR"/>
        </w:rPr>
        <w:t>μαθητοκεντρικές</w:t>
      </w:r>
      <w:proofErr w:type="spellEnd"/>
      <w:r w:rsidRPr="003951ED">
        <w:rPr>
          <w:lang w:eastAsia="el-GR"/>
        </w:rPr>
        <w:t xml:space="preserve"> και βιωματικές προσεγγίσεις μάθησης (</w:t>
      </w:r>
      <w:proofErr w:type="spellStart"/>
      <w:r w:rsidRPr="003951ED">
        <w:rPr>
          <w:lang w:eastAsia="el-GR"/>
        </w:rPr>
        <w:t>Dewey</w:t>
      </w:r>
      <w:proofErr w:type="spellEnd"/>
      <w:r w:rsidRPr="003951ED">
        <w:rPr>
          <w:lang w:eastAsia="el-GR"/>
        </w:rPr>
        <w:t>, 1938</w:t>
      </w:r>
      <w:r w:rsidR="00587F67">
        <w:rPr>
          <w:rFonts w:ascii="Calibri" w:hAnsi="Calibri" w:cs="Calibri"/>
        </w:rPr>
        <w:t>∙</w:t>
      </w:r>
      <w:r w:rsidRPr="003951ED">
        <w:rPr>
          <w:lang w:eastAsia="el-GR"/>
        </w:rPr>
        <w:t xml:space="preserve"> </w:t>
      </w:r>
      <w:proofErr w:type="spellStart"/>
      <w:r w:rsidRPr="003951ED">
        <w:rPr>
          <w:lang w:eastAsia="el-GR"/>
        </w:rPr>
        <w:t>Kolb</w:t>
      </w:r>
      <w:proofErr w:type="spellEnd"/>
      <w:r w:rsidRPr="003951ED">
        <w:rPr>
          <w:lang w:eastAsia="el-GR"/>
        </w:rPr>
        <w:t>, 1984</w:t>
      </w:r>
      <w:r w:rsidR="00587F67">
        <w:rPr>
          <w:rFonts w:ascii="Calibri" w:hAnsi="Calibri" w:cs="Calibri"/>
        </w:rPr>
        <w:t>∙</w:t>
      </w:r>
      <w:r w:rsidR="00D659F0" w:rsidRPr="00D659F0">
        <w:rPr>
          <w:lang w:eastAsia="el-GR"/>
        </w:rPr>
        <w:t xml:space="preserve"> OECD, 2019</w:t>
      </w:r>
      <w:r w:rsidRPr="003951ED">
        <w:rPr>
          <w:lang w:eastAsia="el-GR"/>
        </w:rPr>
        <w:t>). Η ανάγκη για ανάπτυξη δεξιοτήτων του 21ου αιώνα, όπως η κριτική σκέψη, η δημιουργικότητα, η συνεργασία και η επίλυση προβλημάτων, καθιστά απαραίτητη την ενσωμάτωση καινοτόμων διδακτικών πρακτικών στο σχολικό πρόγραμμα (</w:t>
      </w:r>
      <w:proofErr w:type="spellStart"/>
      <w:r w:rsidRPr="003951ED">
        <w:rPr>
          <w:lang w:eastAsia="el-GR"/>
        </w:rPr>
        <w:t>Trilling</w:t>
      </w:r>
      <w:proofErr w:type="spellEnd"/>
      <w:r w:rsidRPr="003951ED">
        <w:rPr>
          <w:lang w:eastAsia="el-GR"/>
        </w:rPr>
        <w:t xml:space="preserve"> &amp; </w:t>
      </w:r>
      <w:proofErr w:type="spellStart"/>
      <w:r w:rsidRPr="003951ED">
        <w:rPr>
          <w:lang w:eastAsia="el-GR"/>
        </w:rPr>
        <w:t>Fadel</w:t>
      </w:r>
      <w:proofErr w:type="spellEnd"/>
      <w:r w:rsidRPr="003951ED">
        <w:rPr>
          <w:lang w:eastAsia="el-GR"/>
        </w:rPr>
        <w:t xml:space="preserve">, 2009). Στο πλαίσιο αυτό, οι δράσεις που συνδέονται με την τέχνη, τον πολιτισμό, τον αθλητισμό και τις επιστήμες αποκτούν ιδιαίτερη σημασία, καθώς συμβάλλουν στην ολιστική ανάπτυξη των </w:t>
      </w:r>
      <w:r w:rsidRPr="00AE3AB4">
        <w:rPr>
          <w:color w:val="FF0000"/>
          <w:lang w:eastAsia="el-GR"/>
        </w:rPr>
        <w:t>μαθητών</w:t>
      </w:r>
      <w:r w:rsidRPr="003951ED">
        <w:rPr>
          <w:lang w:eastAsia="el-GR"/>
        </w:rPr>
        <w:t xml:space="preserve"> (</w:t>
      </w:r>
      <w:proofErr w:type="spellStart"/>
      <w:r w:rsidRPr="003951ED">
        <w:rPr>
          <w:lang w:eastAsia="el-GR"/>
        </w:rPr>
        <w:t>Eisner</w:t>
      </w:r>
      <w:proofErr w:type="spellEnd"/>
      <w:r w:rsidRPr="003951ED">
        <w:rPr>
          <w:lang w:eastAsia="el-GR"/>
        </w:rPr>
        <w:t>, 2002).</w:t>
      </w:r>
    </w:p>
    <w:p w14:paraId="0F27116B" w14:textId="49CB61A7" w:rsidR="0098648D" w:rsidRPr="003951ED" w:rsidRDefault="0098648D" w:rsidP="001C71B7">
      <w:pPr>
        <w:spacing w:after="0" w:line="240" w:lineRule="auto"/>
        <w:ind w:firstLine="284"/>
        <w:jc w:val="both"/>
        <w:rPr>
          <w:lang w:eastAsia="el-GR"/>
        </w:rPr>
      </w:pPr>
      <w:r w:rsidRPr="003951ED">
        <w:rPr>
          <w:lang w:eastAsia="el-GR"/>
        </w:rPr>
        <w:t xml:space="preserve">Η συμμετοχή των </w:t>
      </w:r>
      <w:r w:rsidRPr="00AE3AB4">
        <w:rPr>
          <w:color w:val="FF0000"/>
          <w:lang w:eastAsia="el-GR"/>
        </w:rPr>
        <w:t>μαθητών</w:t>
      </w:r>
      <w:r w:rsidRPr="003951ED">
        <w:rPr>
          <w:lang w:eastAsia="el-GR"/>
        </w:rPr>
        <w:t xml:space="preserve"> σε βιωματικές δραστηριότητες</w:t>
      </w:r>
      <w:r w:rsidR="00587F67">
        <w:rPr>
          <w:lang w:eastAsia="el-GR"/>
        </w:rPr>
        <w:t>,</w:t>
      </w:r>
      <w:r w:rsidRPr="003951ED">
        <w:rPr>
          <w:lang w:eastAsia="el-GR"/>
        </w:rPr>
        <w:t xml:space="preserve"> εκτός του στενού πλαισίου της παραδοσιακής διδασκαλίας</w:t>
      </w:r>
      <w:r w:rsidR="00587F67">
        <w:rPr>
          <w:lang w:eastAsia="el-GR"/>
        </w:rPr>
        <w:t>,</w:t>
      </w:r>
      <w:r w:rsidRPr="003951ED">
        <w:rPr>
          <w:lang w:eastAsia="el-GR"/>
        </w:rPr>
        <w:t xml:space="preserve"> ενισχύει τη μαθησιακή εμπειρία και δημιουργεί ευκαιρίες για ενεργή εμπλοκή στη διαδικασία της γνώσης (</w:t>
      </w:r>
      <w:proofErr w:type="spellStart"/>
      <w:r w:rsidRPr="003951ED">
        <w:rPr>
          <w:lang w:eastAsia="el-GR"/>
        </w:rPr>
        <w:t>Kolb</w:t>
      </w:r>
      <w:proofErr w:type="spellEnd"/>
      <w:r w:rsidRPr="003951ED">
        <w:rPr>
          <w:lang w:eastAsia="el-GR"/>
        </w:rPr>
        <w:t xml:space="preserve">, 1984). Δραστηριότητες </w:t>
      </w:r>
      <w:r w:rsidR="004D69EE" w:rsidRPr="004D69EE">
        <w:rPr>
          <w:color w:val="EE0000"/>
          <w:lang w:eastAsia="el-GR"/>
        </w:rPr>
        <w:t>που συνδυάζονται με</w:t>
      </w:r>
      <w:r w:rsidRPr="003951ED">
        <w:rPr>
          <w:lang w:eastAsia="el-GR"/>
        </w:rPr>
        <w:t xml:space="preserve"> εκπαιδευτικές επισκέψεις σε πολιτιστικούς χώρους, παρακολούθηση θεατρικών παραστάσεων, συμμετοχή σε μαθητικά φεστιβάλ, αθλητικά προγράμματα και μαθηματικούς </w:t>
      </w:r>
      <w:r w:rsidRPr="003951ED">
        <w:rPr>
          <w:lang w:eastAsia="el-GR"/>
        </w:rPr>
        <w:lastRenderedPageBreak/>
        <w:t>διαγωνισμούς συμβάλλουν στην ανάπτυξη γνωστικών, κοινωνικών και συναισθηματικών δεξιοτήτων (</w:t>
      </w:r>
      <w:proofErr w:type="spellStart"/>
      <w:r w:rsidRPr="003951ED">
        <w:rPr>
          <w:lang w:eastAsia="el-GR"/>
        </w:rPr>
        <w:t>Gardner</w:t>
      </w:r>
      <w:proofErr w:type="spellEnd"/>
      <w:r w:rsidRPr="003951ED">
        <w:rPr>
          <w:lang w:eastAsia="el-GR"/>
        </w:rPr>
        <w:t>, 1993</w:t>
      </w:r>
      <w:r w:rsidR="00587F67">
        <w:rPr>
          <w:rFonts w:ascii="Calibri" w:hAnsi="Calibri" w:cs="Calibri"/>
        </w:rPr>
        <w:t>∙</w:t>
      </w:r>
      <w:r w:rsidRPr="003951ED">
        <w:rPr>
          <w:lang w:eastAsia="el-GR"/>
        </w:rPr>
        <w:t xml:space="preserve"> </w:t>
      </w:r>
      <w:proofErr w:type="spellStart"/>
      <w:r w:rsidRPr="003951ED">
        <w:rPr>
          <w:lang w:eastAsia="el-GR"/>
        </w:rPr>
        <w:t>Winner</w:t>
      </w:r>
      <w:proofErr w:type="spellEnd"/>
      <w:r w:rsidR="007439EE" w:rsidRPr="007439EE">
        <w:rPr>
          <w:rFonts w:ascii="Calibri" w:hAnsi="Calibri"/>
        </w:rPr>
        <w:t xml:space="preserve"> </w:t>
      </w:r>
      <w:proofErr w:type="spellStart"/>
      <w:r w:rsidR="007439EE" w:rsidRPr="00CF2E39">
        <w:rPr>
          <w:rFonts w:ascii="Calibri" w:hAnsi="Calibri"/>
        </w:rPr>
        <w:t>et</w:t>
      </w:r>
      <w:proofErr w:type="spellEnd"/>
      <w:r w:rsidR="007439EE" w:rsidRPr="00CF2E39">
        <w:rPr>
          <w:rFonts w:ascii="Calibri" w:hAnsi="Calibri"/>
        </w:rPr>
        <w:t xml:space="preserve"> </w:t>
      </w:r>
      <w:proofErr w:type="spellStart"/>
      <w:r w:rsidR="007439EE" w:rsidRPr="00CF2E39">
        <w:rPr>
          <w:rFonts w:ascii="Calibri" w:hAnsi="Calibri"/>
        </w:rPr>
        <w:t>al</w:t>
      </w:r>
      <w:proofErr w:type="spellEnd"/>
      <w:r w:rsidR="007439EE" w:rsidRPr="00CF2E39">
        <w:rPr>
          <w:rFonts w:ascii="Calibri" w:hAnsi="Calibri"/>
        </w:rPr>
        <w:t>.,</w:t>
      </w:r>
      <w:r w:rsidRPr="003951ED">
        <w:rPr>
          <w:lang w:eastAsia="el-GR"/>
        </w:rPr>
        <w:t xml:space="preserve"> 2013). Παράλληλα, ενισχύουν το ενδιαφέρον των </w:t>
      </w:r>
      <w:r w:rsidRPr="00AE3AB4">
        <w:rPr>
          <w:color w:val="FF0000"/>
          <w:lang w:eastAsia="el-GR"/>
        </w:rPr>
        <w:t>μαθητών</w:t>
      </w:r>
      <w:r w:rsidRPr="003951ED">
        <w:rPr>
          <w:lang w:eastAsia="el-GR"/>
        </w:rPr>
        <w:t xml:space="preserve"> για μάθηση και καλλιεργούν θετική στάση απέναντι στο σχολείο (</w:t>
      </w:r>
      <w:proofErr w:type="spellStart"/>
      <w:r w:rsidRPr="003951ED">
        <w:rPr>
          <w:lang w:eastAsia="el-GR"/>
        </w:rPr>
        <w:t>Bandura</w:t>
      </w:r>
      <w:proofErr w:type="spellEnd"/>
      <w:r w:rsidRPr="003951ED">
        <w:rPr>
          <w:lang w:eastAsia="el-GR"/>
        </w:rPr>
        <w:t>, 1997).</w:t>
      </w:r>
    </w:p>
    <w:p w14:paraId="68D3E2C0" w14:textId="06B663BC" w:rsidR="0098648D" w:rsidRPr="003951ED" w:rsidRDefault="0098648D" w:rsidP="001C71B7">
      <w:pPr>
        <w:spacing w:after="0" w:line="240" w:lineRule="auto"/>
        <w:ind w:firstLine="284"/>
        <w:jc w:val="both"/>
        <w:rPr>
          <w:lang w:eastAsia="el-GR"/>
        </w:rPr>
      </w:pPr>
      <w:r w:rsidRPr="003951ED">
        <w:rPr>
          <w:lang w:eastAsia="el-GR"/>
        </w:rPr>
        <w:t>Ιδιαίτερη σημασία έχει η διαθεματική προσέγγιση της γνώσης, η οποία επιτρέπει τη σύνδεση διαφορετικών γνωστικών αντικειμένων και την κατανόηση της γνώσης ως ενιαίου και δυναμικού συνόλου (</w:t>
      </w:r>
      <w:proofErr w:type="spellStart"/>
      <w:r w:rsidRPr="003951ED">
        <w:rPr>
          <w:lang w:eastAsia="el-GR"/>
        </w:rPr>
        <w:t>Drake</w:t>
      </w:r>
      <w:proofErr w:type="spellEnd"/>
      <w:r w:rsidRPr="003951ED">
        <w:rPr>
          <w:lang w:eastAsia="el-GR"/>
        </w:rPr>
        <w:t xml:space="preserve"> &amp; </w:t>
      </w:r>
      <w:proofErr w:type="spellStart"/>
      <w:r w:rsidRPr="003951ED">
        <w:rPr>
          <w:lang w:eastAsia="el-GR"/>
        </w:rPr>
        <w:t>Reid</w:t>
      </w:r>
      <w:proofErr w:type="spellEnd"/>
      <w:r w:rsidRPr="003951ED">
        <w:rPr>
          <w:lang w:eastAsia="el-GR"/>
        </w:rPr>
        <w:t>, 2018). Η διαθεματικότητα</w:t>
      </w:r>
      <w:r w:rsidR="004D69EE">
        <w:rPr>
          <w:lang w:eastAsia="el-GR"/>
        </w:rPr>
        <w:t xml:space="preserve"> </w:t>
      </w:r>
      <w:r w:rsidRPr="004D69EE">
        <w:rPr>
          <w:color w:val="EE0000"/>
          <w:lang w:eastAsia="el-GR"/>
        </w:rPr>
        <w:t>προωθείται</w:t>
      </w:r>
      <w:r w:rsidRPr="003951ED">
        <w:rPr>
          <w:lang w:eastAsia="el-GR"/>
        </w:rPr>
        <w:t xml:space="preserve"> από τα σύγχρονα προγράμματα σπουδών, ενισχύει τη </w:t>
      </w:r>
      <w:proofErr w:type="spellStart"/>
      <w:r w:rsidRPr="003951ED">
        <w:rPr>
          <w:lang w:eastAsia="el-GR"/>
        </w:rPr>
        <w:t>νοηματοδότηση</w:t>
      </w:r>
      <w:proofErr w:type="spellEnd"/>
      <w:r w:rsidRPr="003951ED">
        <w:rPr>
          <w:lang w:eastAsia="el-GR"/>
        </w:rPr>
        <w:t xml:space="preserve"> της μάθησης και </w:t>
      </w:r>
      <w:r w:rsidR="004D69EE" w:rsidRPr="004D69EE">
        <w:rPr>
          <w:color w:val="EE0000"/>
          <w:lang w:eastAsia="el-GR"/>
        </w:rPr>
        <w:t>βοηθάει</w:t>
      </w:r>
      <w:r w:rsidRPr="003951ED">
        <w:rPr>
          <w:lang w:eastAsia="el-GR"/>
        </w:rPr>
        <w:t xml:space="preserve"> στη δημιουργία αυθεντικών μαθησιακών εμπειριών (Υπουργείο Παιδείας &amp; Ινστιτούτο Εκπαιδευτικής Πολιτικής, 2014). Μέσα από τέτοιες προσεγγίσεις, οι </w:t>
      </w:r>
      <w:r w:rsidRPr="00AE3AB4">
        <w:rPr>
          <w:color w:val="FF0000"/>
          <w:lang w:eastAsia="el-GR"/>
        </w:rPr>
        <w:t>μαθητές</w:t>
      </w:r>
      <w:r w:rsidRPr="003951ED">
        <w:rPr>
          <w:lang w:eastAsia="el-GR"/>
        </w:rPr>
        <w:t xml:space="preserve"> έχουν τη δυνατότητα να αναπτύξουν δεξιότητες που υπερβαίνουν τα όρια των επιμέρους μαθημάτων και να συνδέσουν τη σχολική γνώση με την καθημερινή ζωή (</w:t>
      </w:r>
      <w:proofErr w:type="spellStart"/>
      <w:r w:rsidRPr="003951ED">
        <w:rPr>
          <w:lang w:eastAsia="el-GR"/>
        </w:rPr>
        <w:t>Beane</w:t>
      </w:r>
      <w:proofErr w:type="spellEnd"/>
      <w:r w:rsidRPr="003951ED">
        <w:rPr>
          <w:lang w:eastAsia="el-GR"/>
        </w:rPr>
        <w:t>, 1997).</w:t>
      </w:r>
    </w:p>
    <w:p w14:paraId="23AED863" w14:textId="769EE1FA" w:rsidR="0098648D" w:rsidRPr="003951ED" w:rsidRDefault="0098648D" w:rsidP="001C71B7">
      <w:pPr>
        <w:spacing w:after="0" w:line="240" w:lineRule="auto"/>
        <w:ind w:firstLine="284"/>
        <w:jc w:val="both"/>
        <w:rPr>
          <w:lang w:eastAsia="el-GR"/>
        </w:rPr>
      </w:pPr>
      <w:r w:rsidRPr="003951ED">
        <w:rPr>
          <w:lang w:eastAsia="el-GR"/>
        </w:rPr>
        <w:t xml:space="preserve">Στο ελληνικό εκπαιδευτικό πλαίσιο, η προώθηση της βιωματικής και διαθεματικής μάθησης αποτελεί βασική κατεύθυνση των προγραμμάτων σπουδών και των πολιτικών εκπαιδευτικής αξιολόγησης (Ινστιτούτο Εκπαιδευτικής Πολιτικής, 2021). Το σχολείο καλείται να λειτουργήσει ως ένας δυναμικός χώρος μάθησης, </w:t>
      </w:r>
      <w:r w:rsidR="004D69EE" w:rsidRPr="004D69EE">
        <w:rPr>
          <w:color w:val="EE0000"/>
          <w:lang w:eastAsia="el-GR"/>
        </w:rPr>
        <w:t>στον οποίο</w:t>
      </w:r>
      <w:r w:rsidRPr="004D69EE">
        <w:rPr>
          <w:color w:val="EE0000"/>
          <w:lang w:eastAsia="el-GR"/>
        </w:rPr>
        <w:t xml:space="preserve"> </w:t>
      </w:r>
      <w:r w:rsidRPr="003951ED">
        <w:rPr>
          <w:lang w:eastAsia="el-GR"/>
        </w:rPr>
        <w:t xml:space="preserve">οι </w:t>
      </w:r>
      <w:r w:rsidRPr="00AE3AB4">
        <w:rPr>
          <w:color w:val="FF0000"/>
          <w:lang w:eastAsia="el-GR"/>
        </w:rPr>
        <w:t>μαθητές</w:t>
      </w:r>
      <w:r w:rsidRPr="003951ED">
        <w:rPr>
          <w:lang w:eastAsia="el-GR"/>
        </w:rPr>
        <w:t xml:space="preserve"> </w:t>
      </w:r>
      <w:r w:rsidRPr="004D69EE">
        <w:rPr>
          <w:color w:val="EE0000"/>
          <w:lang w:eastAsia="el-GR"/>
        </w:rPr>
        <w:t>δε</w:t>
      </w:r>
      <w:r w:rsidR="004D69EE" w:rsidRPr="004D69EE">
        <w:rPr>
          <w:color w:val="EE0000"/>
          <w:lang w:eastAsia="el-GR"/>
        </w:rPr>
        <w:t xml:space="preserve"> θα</w:t>
      </w:r>
      <w:r w:rsidRPr="004D69EE">
        <w:rPr>
          <w:color w:val="EE0000"/>
          <w:lang w:eastAsia="el-GR"/>
        </w:rPr>
        <w:t xml:space="preserve"> </w:t>
      </w:r>
      <w:r w:rsidRPr="003951ED">
        <w:rPr>
          <w:lang w:eastAsia="el-GR"/>
        </w:rPr>
        <w:t xml:space="preserve">είναι παθητικοί δέκτες γνώσης αλλά ενεργοί </w:t>
      </w:r>
      <w:r w:rsidRPr="00AE3AB4">
        <w:rPr>
          <w:color w:val="FF0000"/>
          <w:lang w:eastAsia="el-GR"/>
        </w:rPr>
        <w:t>συμμετέχοντες</w:t>
      </w:r>
      <w:r w:rsidRPr="003951ED">
        <w:rPr>
          <w:lang w:eastAsia="el-GR"/>
        </w:rPr>
        <w:t xml:space="preserve"> σε διαδικασίες διερεύνησης και δημιουργίας (</w:t>
      </w:r>
      <w:proofErr w:type="spellStart"/>
      <w:r w:rsidRPr="003951ED">
        <w:rPr>
          <w:lang w:eastAsia="el-GR"/>
        </w:rPr>
        <w:t>Vygotsky</w:t>
      </w:r>
      <w:proofErr w:type="spellEnd"/>
      <w:r w:rsidRPr="003951ED">
        <w:rPr>
          <w:lang w:eastAsia="el-GR"/>
        </w:rPr>
        <w:t xml:space="preserve">, 1978). </w:t>
      </w:r>
      <w:r w:rsidR="004D69EE" w:rsidRPr="004D69EE">
        <w:rPr>
          <w:color w:val="EE0000"/>
          <w:lang w:eastAsia="el-GR"/>
        </w:rPr>
        <w:t>Προς την κατεύθυνση</w:t>
      </w:r>
      <w:r w:rsidRPr="004D69EE">
        <w:rPr>
          <w:color w:val="EE0000"/>
          <w:lang w:eastAsia="el-GR"/>
        </w:rPr>
        <w:t xml:space="preserve"> αυτ</w:t>
      </w:r>
      <w:r w:rsidR="004D69EE" w:rsidRPr="004D69EE">
        <w:rPr>
          <w:color w:val="EE0000"/>
          <w:lang w:eastAsia="el-GR"/>
        </w:rPr>
        <w:t>ήν</w:t>
      </w:r>
      <w:r w:rsidRPr="003951ED">
        <w:rPr>
          <w:lang w:eastAsia="el-GR"/>
        </w:rPr>
        <w:t xml:space="preserve">, η υλοποίηση οργανωμένων </w:t>
      </w:r>
      <w:r w:rsidR="00DF4E3F" w:rsidRPr="00DF4E3F">
        <w:rPr>
          <w:lang w:eastAsia="el-GR"/>
        </w:rPr>
        <w:t xml:space="preserve">εκπαιδευτικών </w:t>
      </w:r>
      <w:r w:rsidR="00DF4E3F" w:rsidRPr="00DF4E3F">
        <w:rPr>
          <w:color w:val="FF0000"/>
          <w:lang w:eastAsia="el-GR"/>
        </w:rPr>
        <w:t>παρεμβάσεων</w:t>
      </w:r>
      <w:r w:rsidR="00DF4E3F">
        <w:rPr>
          <w:lang w:eastAsia="el-GR"/>
        </w:rPr>
        <w:t xml:space="preserve"> </w:t>
      </w:r>
      <w:r w:rsidRPr="003951ED">
        <w:rPr>
          <w:lang w:eastAsia="el-GR"/>
        </w:rPr>
        <w:t>αποτελεί βασικό εργαλείο για την επίτευξη των στόχων της σύγχρονης εκπαίδευσης</w:t>
      </w:r>
      <w:r w:rsidR="00F42133" w:rsidRPr="003951ED">
        <w:rPr>
          <w:lang w:eastAsia="el-GR"/>
        </w:rPr>
        <w:t xml:space="preserve"> </w:t>
      </w:r>
      <w:r w:rsidR="00F42133" w:rsidRPr="00146388">
        <w:rPr>
          <w:lang w:eastAsia="el-GR"/>
        </w:rPr>
        <w:t xml:space="preserve">(Ινστιτούτο </w:t>
      </w:r>
      <w:r w:rsidR="00F42133" w:rsidRPr="003951ED">
        <w:rPr>
          <w:lang w:eastAsia="el-GR"/>
        </w:rPr>
        <w:t>Εκπαιδευτικής Πολιτικής, 2021)</w:t>
      </w:r>
      <w:r w:rsidRPr="003951ED">
        <w:rPr>
          <w:lang w:eastAsia="el-GR"/>
        </w:rPr>
        <w:t>.</w:t>
      </w:r>
    </w:p>
    <w:p w14:paraId="05B01261" w14:textId="32C17F6F" w:rsidR="0098648D" w:rsidRPr="003951ED" w:rsidRDefault="0098648D" w:rsidP="001C71B7">
      <w:pPr>
        <w:spacing w:after="0" w:line="240" w:lineRule="auto"/>
        <w:ind w:firstLine="284"/>
        <w:jc w:val="both"/>
        <w:rPr>
          <w:lang w:eastAsia="el-GR"/>
        </w:rPr>
      </w:pPr>
      <w:r w:rsidRPr="003951ED">
        <w:rPr>
          <w:lang w:eastAsia="el-GR"/>
        </w:rPr>
        <w:t>Η παρούσα εργασία εντάσσεται σε αυτή τη λογική και παρουσιάζει τον σχεδιασμό, την υλοποίηση και την αξιολόγηση ενός συνόλου διαθεματικών δράσεων</w:t>
      </w:r>
      <w:r w:rsidR="00587F67">
        <w:rPr>
          <w:lang w:eastAsia="el-GR"/>
        </w:rPr>
        <w:t>,</w:t>
      </w:r>
      <w:r w:rsidRPr="003951ED">
        <w:rPr>
          <w:lang w:eastAsia="el-GR"/>
        </w:rPr>
        <w:t xml:space="preserve"> που πραγματοποιήθηκαν σε σχολική μονάδα της πρωτοβάθμιας εκπαίδευσης. Οι δράσεις αυτές περιλάμβαναν δραστηριότητες τέχνης, πολιτισμού, αθλητισμού και μαθηματικής σκέψης, με στόχο την ενίσχυση της ενεργού συμμετοχής των </w:t>
      </w:r>
      <w:r w:rsidRPr="00AE3AB4">
        <w:rPr>
          <w:color w:val="FF0000"/>
          <w:lang w:eastAsia="el-GR"/>
        </w:rPr>
        <w:t>μαθητών</w:t>
      </w:r>
      <w:r w:rsidRPr="003951ED">
        <w:rPr>
          <w:lang w:eastAsia="el-GR"/>
        </w:rPr>
        <w:t xml:space="preserve"> και την καλλιέργεια βασικών δεξιοτήτων.</w:t>
      </w:r>
    </w:p>
    <w:p w14:paraId="4EBDC07F" w14:textId="48502FFA" w:rsidR="004949DB" w:rsidRPr="003951ED" w:rsidRDefault="0098648D" w:rsidP="001C71B7">
      <w:pPr>
        <w:spacing w:after="0" w:line="240" w:lineRule="auto"/>
        <w:ind w:firstLine="284"/>
        <w:jc w:val="both"/>
        <w:rPr>
          <w:lang w:eastAsia="el-GR"/>
        </w:rPr>
      </w:pPr>
      <w:r w:rsidRPr="003951ED">
        <w:rPr>
          <w:lang w:eastAsia="el-GR"/>
        </w:rPr>
        <w:t xml:space="preserve">Σκοπός της μελέτης είναι να διερευνήσει τον βαθμό στον οποίο οι συγκεκριμένες </w:t>
      </w:r>
      <w:r w:rsidR="00DF4E3F" w:rsidRPr="00DF4E3F">
        <w:rPr>
          <w:color w:val="FF0000"/>
          <w:lang w:eastAsia="el-GR"/>
        </w:rPr>
        <w:t>εκπαιδευτικές πρακτικές</w:t>
      </w:r>
      <w:r w:rsidRPr="00DF4E3F">
        <w:rPr>
          <w:color w:val="FF0000"/>
          <w:lang w:eastAsia="el-GR"/>
        </w:rPr>
        <w:t xml:space="preserve"> </w:t>
      </w:r>
      <w:r w:rsidRPr="003951ED">
        <w:rPr>
          <w:lang w:eastAsia="el-GR"/>
        </w:rPr>
        <w:t xml:space="preserve">συνέβαλαν στη βελτίωση της μαθησιακής διαδικασίας, στην ανάπτυξη συνεργατικών και δημιουργικών δεξιοτήτων και στη διαμόρφωση θετικής στάσης των </w:t>
      </w:r>
      <w:r w:rsidRPr="00AE3AB4">
        <w:rPr>
          <w:color w:val="FF0000"/>
          <w:lang w:eastAsia="el-GR"/>
        </w:rPr>
        <w:t>μαθητών</w:t>
      </w:r>
      <w:r w:rsidRPr="003951ED">
        <w:rPr>
          <w:lang w:eastAsia="el-GR"/>
        </w:rPr>
        <w:t xml:space="preserve"> απέναντι στη μάθηση. Παράλληλα, επιδιώκεται η ανάδειξη των δυνατοτήτων και των προκλήσεων που σχετίζονται με την υλοποίηση τέτοιων παρεμβάσεων στο πλαίσιο της σχολικής μονάδας.</w:t>
      </w:r>
      <w:r w:rsidR="00004EC3" w:rsidRPr="003951ED">
        <w:rPr>
          <w:lang w:eastAsia="el-GR"/>
        </w:rPr>
        <w:t xml:space="preserve"> </w:t>
      </w:r>
      <w:r w:rsidR="00004EC3" w:rsidRPr="003951ED">
        <w:t>Η παρούσα μελέτη επιχειρεί να συμβάλει στον εμπλουτισμό της σχετικής βιβλιογραφίας, παρέχοντας εμπειρικά δεδομένα από το ελληνικό εκπαιδευτικό πλαίσιο.</w:t>
      </w:r>
    </w:p>
    <w:p w14:paraId="608E96E2" w14:textId="77777777" w:rsidR="008E418D" w:rsidRPr="001C71B7" w:rsidRDefault="008E418D" w:rsidP="00850B3B">
      <w:pPr>
        <w:spacing w:before="240" w:after="0" w:line="240" w:lineRule="auto"/>
        <w:ind w:firstLine="284"/>
        <w:jc w:val="both"/>
        <w:rPr>
          <w:b/>
          <w:lang w:eastAsia="el-GR"/>
        </w:rPr>
      </w:pPr>
      <w:r w:rsidRPr="001C71B7">
        <w:rPr>
          <w:b/>
          <w:lang w:eastAsia="el-GR"/>
        </w:rPr>
        <w:t>Θεωρητικό Πλαίσιο</w:t>
      </w:r>
    </w:p>
    <w:p w14:paraId="593F58A2" w14:textId="77777777" w:rsidR="008E418D" w:rsidRPr="001C71B7" w:rsidRDefault="008E418D" w:rsidP="001C71B7">
      <w:pPr>
        <w:spacing w:after="0" w:line="240" w:lineRule="auto"/>
        <w:ind w:firstLine="284"/>
        <w:jc w:val="both"/>
        <w:rPr>
          <w:i/>
          <w:lang w:eastAsia="el-GR"/>
        </w:rPr>
      </w:pPr>
      <w:r w:rsidRPr="001C71B7">
        <w:rPr>
          <w:i/>
          <w:lang w:eastAsia="el-GR"/>
        </w:rPr>
        <w:t>Βιωματική μάθηση και ενεργητική συμμετοχή</w:t>
      </w:r>
    </w:p>
    <w:p w14:paraId="6E381458" w14:textId="5A0EDB9F" w:rsidR="008E418D" w:rsidRPr="003951ED" w:rsidRDefault="008E418D" w:rsidP="001C71B7">
      <w:pPr>
        <w:spacing w:after="0" w:line="240" w:lineRule="auto"/>
        <w:ind w:firstLine="284"/>
        <w:jc w:val="both"/>
        <w:rPr>
          <w:lang w:eastAsia="el-GR"/>
        </w:rPr>
      </w:pPr>
      <w:r w:rsidRPr="003951ED">
        <w:rPr>
          <w:lang w:eastAsia="el-GR"/>
        </w:rPr>
        <w:t xml:space="preserve">Η βιωματική μάθηση αποτελεί έναν από τους βασικούς άξονες της σύγχρονης παιδαγωγικής θεωρίας, καθώς υποστηρίζει ότι η γνώση οικοδομείται μέσα από την εμπειρία και τη δράση του ίδιου </w:t>
      </w:r>
      <w:r w:rsidRPr="00AE3AB4">
        <w:rPr>
          <w:color w:val="FF0000"/>
          <w:lang w:eastAsia="el-GR"/>
        </w:rPr>
        <w:t xml:space="preserve">του μαθητή </w:t>
      </w:r>
      <w:r w:rsidRPr="003951ED">
        <w:rPr>
          <w:lang w:eastAsia="el-GR"/>
        </w:rPr>
        <w:t>(</w:t>
      </w:r>
      <w:proofErr w:type="spellStart"/>
      <w:r w:rsidRPr="003951ED">
        <w:rPr>
          <w:lang w:eastAsia="el-GR"/>
        </w:rPr>
        <w:t>Dewey</w:t>
      </w:r>
      <w:proofErr w:type="spellEnd"/>
      <w:r w:rsidRPr="003951ED">
        <w:rPr>
          <w:lang w:eastAsia="el-GR"/>
        </w:rPr>
        <w:t>, 1938</w:t>
      </w:r>
      <w:r w:rsidR="009441AB">
        <w:rPr>
          <w:rFonts w:ascii="Calibri" w:hAnsi="Calibri" w:cs="Calibri"/>
        </w:rPr>
        <w:t>∙</w:t>
      </w:r>
      <w:r w:rsidRPr="003951ED">
        <w:rPr>
          <w:lang w:eastAsia="el-GR"/>
        </w:rPr>
        <w:t xml:space="preserve"> </w:t>
      </w:r>
      <w:proofErr w:type="spellStart"/>
      <w:r w:rsidRPr="003951ED">
        <w:rPr>
          <w:lang w:eastAsia="el-GR"/>
        </w:rPr>
        <w:t>Kolb</w:t>
      </w:r>
      <w:proofErr w:type="spellEnd"/>
      <w:r w:rsidRPr="003951ED">
        <w:rPr>
          <w:lang w:eastAsia="el-GR"/>
        </w:rPr>
        <w:t xml:space="preserve">, 1984). Σύμφωνα με τον </w:t>
      </w:r>
      <w:proofErr w:type="spellStart"/>
      <w:r w:rsidRPr="003951ED">
        <w:rPr>
          <w:lang w:eastAsia="el-GR"/>
        </w:rPr>
        <w:t>Dewey</w:t>
      </w:r>
      <w:proofErr w:type="spellEnd"/>
      <w:r w:rsidRPr="003951ED">
        <w:rPr>
          <w:lang w:eastAsia="el-GR"/>
        </w:rPr>
        <w:t xml:space="preserve"> (1938), η εκπαίδευση οφείλει να συνδέεται με την πραγματική ζωή και να βασίζεται σε αυθεντικές εμπειρίες που κινητοποιούν το ενδιαφέρον των </w:t>
      </w:r>
      <w:r w:rsidRPr="00AE3AB4">
        <w:rPr>
          <w:color w:val="FF0000"/>
          <w:lang w:eastAsia="el-GR"/>
        </w:rPr>
        <w:t>μαθητών</w:t>
      </w:r>
      <w:r w:rsidRPr="003951ED">
        <w:rPr>
          <w:lang w:eastAsia="el-GR"/>
        </w:rPr>
        <w:t xml:space="preserve">. Αντίστοιχα, το μοντέλο του </w:t>
      </w:r>
      <w:proofErr w:type="spellStart"/>
      <w:r w:rsidRPr="003951ED">
        <w:rPr>
          <w:lang w:eastAsia="el-GR"/>
        </w:rPr>
        <w:t>Kolb</w:t>
      </w:r>
      <w:proofErr w:type="spellEnd"/>
      <w:r w:rsidRPr="003951ED">
        <w:rPr>
          <w:lang w:eastAsia="el-GR"/>
        </w:rPr>
        <w:t xml:space="preserve"> (1984) περιγράφει τη μάθηση ως έναν κυκλικό μηχανισμό που περιλαμβάνει τη συγκεκριμένη εμπειρία, τον </w:t>
      </w:r>
      <w:proofErr w:type="spellStart"/>
      <w:r w:rsidRPr="003951ED">
        <w:rPr>
          <w:lang w:eastAsia="el-GR"/>
        </w:rPr>
        <w:t>αναστοχασμό</w:t>
      </w:r>
      <w:proofErr w:type="spellEnd"/>
      <w:r w:rsidRPr="003951ED">
        <w:rPr>
          <w:lang w:eastAsia="el-GR"/>
        </w:rPr>
        <w:t>, τη θεωρητική κατανόηση και την ενεργό πειραματική εφαρμογή.</w:t>
      </w:r>
    </w:p>
    <w:p w14:paraId="78715778" w14:textId="151F68A9" w:rsidR="008E418D" w:rsidRPr="003951ED" w:rsidRDefault="008E418D" w:rsidP="001C71B7">
      <w:pPr>
        <w:spacing w:after="0" w:line="240" w:lineRule="auto"/>
        <w:ind w:firstLine="284"/>
        <w:jc w:val="both"/>
        <w:rPr>
          <w:lang w:eastAsia="el-GR"/>
        </w:rPr>
      </w:pPr>
      <w:r w:rsidRPr="003951ED">
        <w:rPr>
          <w:lang w:eastAsia="el-GR"/>
        </w:rPr>
        <w:t xml:space="preserve">Η εφαρμογή βιωματικών δραστηριοτήτων στο σχολικό περιβάλλον ενισχύει την ενεργή συμμετοχή των </w:t>
      </w:r>
      <w:r w:rsidRPr="00AE3AB4">
        <w:rPr>
          <w:color w:val="FF0000"/>
          <w:lang w:eastAsia="el-GR"/>
        </w:rPr>
        <w:t>μαθητών</w:t>
      </w:r>
      <w:r w:rsidRPr="003951ED">
        <w:rPr>
          <w:lang w:eastAsia="el-GR"/>
        </w:rPr>
        <w:t xml:space="preserve">, καθιστώντας τους </w:t>
      </w:r>
      <w:proofErr w:type="spellStart"/>
      <w:r w:rsidRPr="003951ED">
        <w:rPr>
          <w:lang w:eastAsia="el-GR"/>
        </w:rPr>
        <w:t>συνδιαμορφωτές</w:t>
      </w:r>
      <w:proofErr w:type="spellEnd"/>
      <w:r w:rsidRPr="003951ED">
        <w:rPr>
          <w:lang w:eastAsia="el-GR"/>
        </w:rPr>
        <w:t xml:space="preserve"> της γνώσης και όχι παθητικούς δέκτες (</w:t>
      </w:r>
      <w:proofErr w:type="spellStart"/>
      <w:r w:rsidRPr="003951ED">
        <w:rPr>
          <w:lang w:eastAsia="el-GR"/>
        </w:rPr>
        <w:t>Prince</w:t>
      </w:r>
      <w:proofErr w:type="spellEnd"/>
      <w:r w:rsidRPr="003951ED">
        <w:rPr>
          <w:lang w:eastAsia="el-GR"/>
        </w:rPr>
        <w:t>, 2004). Επιπλέον, η ενεργητική μάθηση συνδέεται με υψηλότερα επίπεδα κατανόησης και διατήρησης της γνώσης, καθώς και με την ανάπτυξη δεξιοτήτων επίλυσης προβλημάτων (</w:t>
      </w:r>
      <w:proofErr w:type="spellStart"/>
      <w:r w:rsidRPr="003951ED">
        <w:rPr>
          <w:lang w:eastAsia="el-GR"/>
        </w:rPr>
        <w:t>Freeman</w:t>
      </w:r>
      <w:proofErr w:type="spellEnd"/>
      <w:r w:rsidRPr="003951ED">
        <w:rPr>
          <w:lang w:eastAsia="el-GR"/>
        </w:rPr>
        <w:t xml:space="preserve"> </w:t>
      </w:r>
      <w:proofErr w:type="spellStart"/>
      <w:r w:rsidRPr="003951ED">
        <w:rPr>
          <w:lang w:eastAsia="el-GR"/>
        </w:rPr>
        <w:t>et</w:t>
      </w:r>
      <w:proofErr w:type="spellEnd"/>
      <w:r w:rsidRPr="003951ED">
        <w:rPr>
          <w:lang w:eastAsia="el-GR"/>
        </w:rPr>
        <w:t xml:space="preserve"> </w:t>
      </w:r>
      <w:proofErr w:type="spellStart"/>
      <w:r w:rsidRPr="003951ED">
        <w:rPr>
          <w:lang w:eastAsia="el-GR"/>
        </w:rPr>
        <w:t>al</w:t>
      </w:r>
      <w:proofErr w:type="spellEnd"/>
      <w:r w:rsidRPr="003951ED">
        <w:rPr>
          <w:lang w:eastAsia="el-GR"/>
        </w:rPr>
        <w:t>., 2014).</w:t>
      </w:r>
    </w:p>
    <w:p w14:paraId="2F359F30" w14:textId="77777777" w:rsidR="008E418D" w:rsidRPr="003951ED" w:rsidRDefault="008E418D" w:rsidP="001C71B7">
      <w:pPr>
        <w:spacing w:before="240" w:after="0" w:line="240" w:lineRule="auto"/>
        <w:ind w:firstLine="284"/>
        <w:jc w:val="both"/>
        <w:rPr>
          <w:i/>
          <w:lang w:eastAsia="el-GR"/>
        </w:rPr>
      </w:pPr>
      <w:proofErr w:type="spellStart"/>
      <w:r w:rsidRPr="003951ED">
        <w:rPr>
          <w:i/>
          <w:lang w:eastAsia="el-GR"/>
        </w:rPr>
        <w:t>Κοινωνικοπολιτισμική</w:t>
      </w:r>
      <w:proofErr w:type="spellEnd"/>
      <w:r w:rsidRPr="003951ED">
        <w:rPr>
          <w:i/>
          <w:lang w:eastAsia="el-GR"/>
        </w:rPr>
        <w:t xml:space="preserve"> θεωρία και συνεργατική μάθηση</w:t>
      </w:r>
    </w:p>
    <w:p w14:paraId="3728D35F" w14:textId="51B238B9" w:rsidR="008E418D" w:rsidRPr="003951ED" w:rsidRDefault="008E418D" w:rsidP="001C71B7">
      <w:pPr>
        <w:spacing w:after="0" w:line="240" w:lineRule="auto"/>
        <w:ind w:firstLine="284"/>
        <w:jc w:val="both"/>
        <w:rPr>
          <w:lang w:eastAsia="el-GR"/>
        </w:rPr>
      </w:pPr>
      <w:r w:rsidRPr="003951ED">
        <w:rPr>
          <w:lang w:eastAsia="el-GR"/>
        </w:rPr>
        <w:lastRenderedPageBreak/>
        <w:t xml:space="preserve">Η </w:t>
      </w:r>
      <w:proofErr w:type="spellStart"/>
      <w:r w:rsidRPr="003951ED">
        <w:rPr>
          <w:lang w:eastAsia="el-GR"/>
        </w:rPr>
        <w:t>κοινωνικοπολιτισμική</w:t>
      </w:r>
      <w:proofErr w:type="spellEnd"/>
      <w:r w:rsidRPr="003951ED">
        <w:rPr>
          <w:lang w:eastAsia="el-GR"/>
        </w:rPr>
        <w:t xml:space="preserve"> θεωρία του </w:t>
      </w:r>
      <w:proofErr w:type="spellStart"/>
      <w:r w:rsidRPr="003951ED">
        <w:rPr>
          <w:lang w:eastAsia="el-GR"/>
        </w:rPr>
        <w:t>Vygotsky</w:t>
      </w:r>
      <w:proofErr w:type="spellEnd"/>
      <w:r w:rsidRPr="003951ED">
        <w:rPr>
          <w:lang w:eastAsia="el-GR"/>
        </w:rPr>
        <w:t xml:space="preserve"> (1978) αναδεικνύει τον καθοριστικό ρόλο της κοινωνικής αλληλεπίδρασης στη μαθησιακή διαδικασία</w:t>
      </w:r>
      <w:r w:rsidR="000915C4">
        <w:t>. Η προσέγγιση αυτή εξακολουθεί να επηρεάζει τη σύγχρονη εκπαιδευτική θεωρία και πρακτική</w:t>
      </w:r>
      <w:r w:rsidR="003C4169">
        <w:t>.</w:t>
      </w:r>
      <w:r w:rsidR="000915C4">
        <w:t xml:space="preserve"> </w:t>
      </w:r>
      <w:r w:rsidRPr="003951ED">
        <w:rPr>
          <w:lang w:eastAsia="el-GR"/>
        </w:rPr>
        <w:t>Σύμφωνα με τη θεωρία αυτή, η γνώση οικοδομείται μέσα από τη συνεργασία και τον διάλογο, ενώ η «ζώνη επικείμενης ανάπτυξης» (</w:t>
      </w:r>
      <w:proofErr w:type="spellStart"/>
      <w:r w:rsidRPr="003951ED">
        <w:rPr>
          <w:lang w:eastAsia="el-GR"/>
        </w:rPr>
        <w:t>zone</w:t>
      </w:r>
      <w:proofErr w:type="spellEnd"/>
      <w:r w:rsidRPr="003951ED">
        <w:rPr>
          <w:lang w:eastAsia="el-GR"/>
        </w:rPr>
        <w:t xml:space="preserve"> of </w:t>
      </w:r>
      <w:proofErr w:type="spellStart"/>
      <w:r w:rsidRPr="003951ED">
        <w:rPr>
          <w:lang w:eastAsia="el-GR"/>
        </w:rPr>
        <w:t>proximal</w:t>
      </w:r>
      <w:proofErr w:type="spellEnd"/>
      <w:r w:rsidRPr="003951ED">
        <w:rPr>
          <w:lang w:eastAsia="el-GR"/>
        </w:rPr>
        <w:t xml:space="preserve"> </w:t>
      </w:r>
      <w:proofErr w:type="spellStart"/>
      <w:r w:rsidRPr="003951ED">
        <w:rPr>
          <w:lang w:eastAsia="el-GR"/>
        </w:rPr>
        <w:t>development</w:t>
      </w:r>
      <w:proofErr w:type="spellEnd"/>
      <w:r w:rsidRPr="003951ED">
        <w:rPr>
          <w:lang w:eastAsia="el-GR"/>
        </w:rPr>
        <w:t xml:space="preserve">) περιγράφει το εύρος δυνατοτήτων </w:t>
      </w:r>
      <w:r w:rsidRPr="00AE3AB4">
        <w:rPr>
          <w:color w:val="FF0000"/>
          <w:lang w:eastAsia="el-GR"/>
        </w:rPr>
        <w:t>του μαθητή</w:t>
      </w:r>
      <w:r w:rsidR="009441AB">
        <w:rPr>
          <w:lang w:eastAsia="el-GR"/>
        </w:rPr>
        <w:t>,</w:t>
      </w:r>
      <w:r w:rsidRPr="003951ED">
        <w:rPr>
          <w:lang w:eastAsia="el-GR"/>
        </w:rPr>
        <w:t xml:space="preserve"> όταν υποστηρίζεται από πιο έμπειρους συνομιλητές</w:t>
      </w:r>
      <w:r w:rsidR="00713B33" w:rsidRPr="00713B33">
        <w:t xml:space="preserve"> </w:t>
      </w:r>
      <w:r w:rsidR="003C4169">
        <w:t>(</w:t>
      </w:r>
      <w:proofErr w:type="spellStart"/>
      <w:r w:rsidR="003C4169">
        <w:t>Daniels</w:t>
      </w:r>
      <w:proofErr w:type="spellEnd"/>
      <w:r w:rsidR="003C4169">
        <w:t>, 2016</w:t>
      </w:r>
      <w:r w:rsidR="003C4169">
        <w:rPr>
          <w:rFonts w:cstheme="minorHAnsi"/>
        </w:rPr>
        <w:t>∙</w:t>
      </w:r>
      <w:r w:rsidR="003C4169">
        <w:t xml:space="preserve"> </w:t>
      </w:r>
      <w:proofErr w:type="spellStart"/>
      <w:r w:rsidR="003C4169">
        <w:t>Vygotsky</w:t>
      </w:r>
      <w:proofErr w:type="spellEnd"/>
      <w:r w:rsidR="003C4169">
        <w:t>, 1978)</w:t>
      </w:r>
      <w:r w:rsidRPr="003951ED">
        <w:rPr>
          <w:lang w:eastAsia="el-GR"/>
        </w:rPr>
        <w:t>.</w:t>
      </w:r>
    </w:p>
    <w:p w14:paraId="3441C2AC" w14:textId="784EC0E1" w:rsidR="008E418D" w:rsidRPr="003951ED" w:rsidRDefault="008E418D" w:rsidP="001C71B7">
      <w:pPr>
        <w:spacing w:after="0" w:line="240" w:lineRule="auto"/>
        <w:ind w:firstLine="284"/>
        <w:jc w:val="both"/>
        <w:rPr>
          <w:lang w:eastAsia="el-GR"/>
        </w:rPr>
      </w:pPr>
      <w:r w:rsidRPr="003951ED">
        <w:rPr>
          <w:lang w:eastAsia="el-GR"/>
        </w:rPr>
        <w:t xml:space="preserve">Στο πλαίσιο αυτό, η συνεργατική μάθηση αποτελεί βασική διδακτική πρακτική που ενισχύει τη γνωστική ανάπτυξη και τις κοινωνικές δεξιότητες των </w:t>
      </w:r>
      <w:r w:rsidRPr="00AE3AB4">
        <w:rPr>
          <w:color w:val="FF0000"/>
          <w:lang w:eastAsia="el-GR"/>
        </w:rPr>
        <w:t>μαθητών</w:t>
      </w:r>
      <w:r w:rsidRPr="003951ED">
        <w:rPr>
          <w:lang w:eastAsia="el-GR"/>
        </w:rPr>
        <w:t xml:space="preserve"> (Johnson &amp; Johnson, 2009). Μέσα από ομαδικές δραστηριότητες, οι </w:t>
      </w:r>
      <w:r w:rsidRPr="00AE3AB4">
        <w:rPr>
          <w:color w:val="FF0000"/>
          <w:lang w:eastAsia="el-GR"/>
        </w:rPr>
        <w:t>μαθητές</w:t>
      </w:r>
      <w:r w:rsidRPr="003951ED">
        <w:rPr>
          <w:lang w:eastAsia="el-GR"/>
        </w:rPr>
        <w:t xml:space="preserve"> αναπτύσσουν δεξιότητες επικοινωνίας, διαπραγμάτευσης και επίλυσης συγκρούσεων, ενώ παράλληλα ενισχύεται η αυτοπεποίθηση και η αυτορρύθμιση της μάθησης (</w:t>
      </w:r>
      <w:proofErr w:type="spellStart"/>
      <w:r w:rsidRPr="003951ED">
        <w:rPr>
          <w:lang w:eastAsia="el-GR"/>
        </w:rPr>
        <w:t>Slavin</w:t>
      </w:r>
      <w:proofErr w:type="spellEnd"/>
      <w:r w:rsidRPr="003951ED">
        <w:rPr>
          <w:lang w:eastAsia="el-GR"/>
        </w:rPr>
        <w:t>, 2014).</w:t>
      </w:r>
    </w:p>
    <w:p w14:paraId="59D60E2F" w14:textId="77777777" w:rsidR="008E418D" w:rsidRPr="003951ED" w:rsidRDefault="008E418D" w:rsidP="001C71B7">
      <w:pPr>
        <w:spacing w:before="240" w:after="0" w:line="240" w:lineRule="auto"/>
        <w:ind w:firstLine="284"/>
        <w:jc w:val="both"/>
        <w:rPr>
          <w:i/>
          <w:lang w:eastAsia="el-GR"/>
        </w:rPr>
      </w:pPr>
      <w:r w:rsidRPr="003951ED">
        <w:rPr>
          <w:i/>
          <w:lang w:eastAsia="el-GR"/>
        </w:rPr>
        <w:t xml:space="preserve">Θεωρία πολλαπλών </w:t>
      </w:r>
      <w:proofErr w:type="spellStart"/>
      <w:r w:rsidRPr="003951ED">
        <w:rPr>
          <w:i/>
          <w:lang w:eastAsia="el-GR"/>
        </w:rPr>
        <w:t>νοημοσυνών</w:t>
      </w:r>
      <w:proofErr w:type="spellEnd"/>
      <w:r w:rsidRPr="003951ED">
        <w:rPr>
          <w:i/>
          <w:lang w:eastAsia="el-GR"/>
        </w:rPr>
        <w:t xml:space="preserve"> και διαφοροποιημένη διδασκαλία</w:t>
      </w:r>
    </w:p>
    <w:p w14:paraId="03EB08C7" w14:textId="21630EC3" w:rsidR="008E418D" w:rsidRPr="003951ED" w:rsidRDefault="008E418D" w:rsidP="001C71B7">
      <w:pPr>
        <w:spacing w:after="0" w:line="240" w:lineRule="auto"/>
        <w:ind w:firstLine="284"/>
        <w:jc w:val="both"/>
        <w:rPr>
          <w:lang w:eastAsia="el-GR"/>
        </w:rPr>
      </w:pPr>
      <w:r w:rsidRPr="003951ED">
        <w:rPr>
          <w:lang w:eastAsia="el-GR"/>
        </w:rPr>
        <w:t xml:space="preserve">Η θεωρία των πολλαπλών </w:t>
      </w:r>
      <w:proofErr w:type="spellStart"/>
      <w:r w:rsidRPr="003951ED">
        <w:rPr>
          <w:lang w:eastAsia="el-GR"/>
        </w:rPr>
        <w:t>νοημοσυνών</w:t>
      </w:r>
      <w:proofErr w:type="spellEnd"/>
      <w:r w:rsidRPr="003951ED">
        <w:rPr>
          <w:lang w:eastAsia="el-GR"/>
        </w:rPr>
        <w:t xml:space="preserve"> του </w:t>
      </w:r>
      <w:proofErr w:type="spellStart"/>
      <w:r w:rsidRPr="003951ED">
        <w:rPr>
          <w:lang w:eastAsia="el-GR"/>
        </w:rPr>
        <w:t>Gardner</w:t>
      </w:r>
      <w:proofErr w:type="spellEnd"/>
      <w:r w:rsidRPr="003951ED">
        <w:rPr>
          <w:lang w:eastAsia="el-GR"/>
        </w:rPr>
        <w:t xml:space="preserve"> (1993) υποστηρίζει ότι η νοημοσύνη δεν είναι ενιαία, αλλά αποτελείται από διαφορετικές μορφές, όπως η γλωσσική, η </w:t>
      </w:r>
      <w:proofErr w:type="spellStart"/>
      <w:r w:rsidRPr="003951ED">
        <w:rPr>
          <w:lang w:eastAsia="el-GR"/>
        </w:rPr>
        <w:t>λογικομαθηματική</w:t>
      </w:r>
      <w:proofErr w:type="spellEnd"/>
      <w:r w:rsidRPr="003951ED">
        <w:rPr>
          <w:lang w:eastAsia="el-GR"/>
        </w:rPr>
        <w:t xml:space="preserve">, η μουσική, η κιναισθητική και η διαπροσωπική. Η προσέγγιση αυτή αναδεικνύει την ανάγκη διαφοροποίησης της διδασκαλίας, ώστε να ανταποκρίνεται στα διαφορετικά μαθησιακά προφίλ των </w:t>
      </w:r>
      <w:r w:rsidRPr="00AE3AB4">
        <w:rPr>
          <w:color w:val="FF0000"/>
          <w:lang w:eastAsia="el-GR"/>
        </w:rPr>
        <w:t>μαθητών</w:t>
      </w:r>
      <w:r w:rsidR="00DF063F">
        <w:rPr>
          <w:lang w:eastAsia="el-GR"/>
        </w:rPr>
        <w:t xml:space="preserve"> </w:t>
      </w:r>
      <w:r w:rsidR="00DF063F" w:rsidRPr="00DF063F">
        <w:rPr>
          <w:lang w:eastAsia="el-GR"/>
        </w:rPr>
        <w:t>(</w:t>
      </w:r>
      <w:proofErr w:type="spellStart"/>
      <w:r w:rsidR="00DF063F" w:rsidRPr="00DF063F">
        <w:rPr>
          <w:lang w:eastAsia="el-GR"/>
        </w:rPr>
        <w:t>Armstrong</w:t>
      </w:r>
      <w:proofErr w:type="spellEnd"/>
      <w:r w:rsidR="00DF063F" w:rsidRPr="00DF063F">
        <w:rPr>
          <w:lang w:eastAsia="el-GR"/>
        </w:rPr>
        <w:t>, 2009</w:t>
      </w:r>
      <w:r w:rsidR="009441AB">
        <w:rPr>
          <w:rFonts w:cstheme="minorHAnsi"/>
          <w:lang w:eastAsia="el-GR"/>
        </w:rPr>
        <w:t>∙</w:t>
      </w:r>
      <w:r w:rsidR="00E101B0">
        <w:rPr>
          <w:rFonts w:ascii="Calibri" w:hAnsi="Calibri"/>
        </w:rPr>
        <w:t xml:space="preserve"> </w:t>
      </w:r>
      <w:proofErr w:type="spellStart"/>
      <w:r w:rsidR="00DF063F" w:rsidRPr="00DF063F">
        <w:rPr>
          <w:lang w:eastAsia="el-GR"/>
        </w:rPr>
        <w:t>Tomlinson</w:t>
      </w:r>
      <w:proofErr w:type="spellEnd"/>
      <w:r w:rsidR="00DF063F" w:rsidRPr="00DF063F">
        <w:rPr>
          <w:lang w:eastAsia="el-GR"/>
        </w:rPr>
        <w:t>, 2014)</w:t>
      </w:r>
      <w:r w:rsidRPr="003951ED">
        <w:rPr>
          <w:lang w:eastAsia="el-GR"/>
        </w:rPr>
        <w:t>.</w:t>
      </w:r>
    </w:p>
    <w:p w14:paraId="6ABC7CC1" w14:textId="68E0975B" w:rsidR="008E418D" w:rsidRPr="003951ED" w:rsidRDefault="008E418D" w:rsidP="001C71B7">
      <w:pPr>
        <w:spacing w:after="0" w:line="240" w:lineRule="auto"/>
        <w:ind w:firstLine="284"/>
        <w:jc w:val="both"/>
        <w:rPr>
          <w:lang w:eastAsia="el-GR"/>
        </w:rPr>
      </w:pPr>
      <w:r w:rsidRPr="003951ED">
        <w:rPr>
          <w:lang w:eastAsia="el-GR"/>
        </w:rPr>
        <w:t xml:space="preserve">Η ενσωμάτωση δράσεων τέχνης, μουσικής, θεάτρου και αθλητισμού στο σχολικό πρόγραμμα επιτρέπει την ενεργοποίηση διαφορετικών μορφών νοημοσύνης και συμβάλλει στην ολόπλευρη ανάπτυξη των </w:t>
      </w:r>
      <w:r w:rsidRPr="00AE3AB4">
        <w:rPr>
          <w:color w:val="FF0000"/>
          <w:lang w:eastAsia="el-GR"/>
        </w:rPr>
        <w:t>μαθητών</w:t>
      </w:r>
      <w:r w:rsidRPr="003951ED">
        <w:rPr>
          <w:lang w:eastAsia="el-GR"/>
        </w:rPr>
        <w:t xml:space="preserve"> (</w:t>
      </w:r>
      <w:proofErr w:type="spellStart"/>
      <w:r w:rsidRPr="003951ED">
        <w:rPr>
          <w:lang w:eastAsia="el-GR"/>
        </w:rPr>
        <w:t>Armstrong</w:t>
      </w:r>
      <w:proofErr w:type="spellEnd"/>
      <w:r w:rsidRPr="003951ED">
        <w:rPr>
          <w:lang w:eastAsia="el-GR"/>
        </w:rPr>
        <w:t xml:space="preserve">, 2009). Παράλληλα, η διαφοροποιημένη διδασκαλία ενισχύει τη συμμετοχή όλων των </w:t>
      </w:r>
      <w:r w:rsidRPr="00AE3AB4">
        <w:rPr>
          <w:color w:val="FF0000"/>
          <w:lang w:eastAsia="el-GR"/>
        </w:rPr>
        <w:t>μαθητών</w:t>
      </w:r>
      <w:r w:rsidRPr="003951ED">
        <w:rPr>
          <w:lang w:eastAsia="el-GR"/>
        </w:rPr>
        <w:t xml:space="preserve">, μειώνοντας τις ανισότητες στη μάθηση </w:t>
      </w:r>
      <w:r w:rsidR="002E4201" w:rsidRPr="002E4201">
        <w:rPr>
          <w:lang w:eastAsia="el-GR"/>
        </w:rPr>
        <w:t>(</w:t>
      </w:r>
      <w:proofErr w:type="spellStart"/>
      <w:r w:rsidR="00092871" w:rsidRPr="002E4201">
        <w:rPr>
          <w:lang w:eastAsia="el-GR"/>
        </w:rPr>
        <w:t>Hall</w:t>
      </w:r>
      <w:proofErr w:type="spellEnd"/>
      <w:r w:rsidR="00092871" w:rsidRPr="002E4201">
        <w:rPr>
          <w:lang w:eastAsia="el-GR"/>
        </w:rPr>
        <w:t>, 2002</w:t>
      </w:r>
      <w:r w:rsidR="003C4169">
        <w:rPr>
          <w:rFonts w:ascii="Calibri" w:hAnsi="Calibri" w:cs="Calibri"/>
        </w:rPr>
        <w:t>∙</w:t>
      </w:r>
      <w:r w:rsidR="00E101B0">
        <w:rPr>
          <w:rFonts w:ascii="Calibri" w:hAnsi="Calibri"/>
        </w:rPr>
        <w:t xml:space="preserve"> </w:t>
      </w:r>
      <w:proofErr w:type="spellStart"/>
      <w:r w:rsidR="002E4201" w:rsidRPr="002E4201">
        <w:rPr>
          <w:lang w:eastAsia="el-GR"/>
        </w:rPr>
        <w:t>Tomlinson</w:t>
      </w:r>
      <w:proofErr w:type="spellEnd"/>
      <w:r w:rsidR="002E4201" w:rsidRPr="002E4201">
        <w:rPr>
          <w:lang w:eastAsia="el-GR"/>
        </w:rPr>
        <w:t>, 2014)</w:t>
      </w:r>
      <w:r w:rsidRPr="003951ED">
        <w:rPr>
          <w:lang w:eastAsia="el-GR"/>
        </w:rPr>
        <w:t>.</w:t>
      </w:r>
    </w:p>
    <w:p w14:paraId="5C0AD65F" w14:textId="77777777" w:rsidR="008E418D" w:rsidRPr="003951ED" w:rsidRDefault="008E418D" w:rsidP="001C71B7">
      <w:pPr>
        <w:spacing w:before="240" w:after="0" w:line="240" w:lineRule="auto"/>
        <w:ind w:firstLine="284"/>
        <w:jc w:val="both"/>
        <w:rPr>
          <w:i/>
          <w:lang w:eastAsia="el-GR"/>
        </w:rPr>
      </w:pPr>
      <w:r w:rsidRPr="003951ED">
        <w:rPr>
          <w:i/>
          <w:lang w:eastAsia="el-GR"/>
        </w:rPr>
        <w:t>Διαθεματική προσέγγιση της γνώσης</w:t>
      </w:r>
    </w:p>
    <w:p w14:paraId="26CEE7AF" w14:textId="698EEBFE" w:rsidR="008E418D" w:rsidRPr="003951ED" w:rsidRDefault="008E418D" w:rsidP="001C71B7">
      <w:pPr>
        <w:spacing w:after="0" w:line="240" w:lineRule="auto"/>
        <w:ind w:firstLine="284"/>
        <w:jc w:val="both"/>
        <w:rPr>
          <w:lang w:eastAsia="el-GR"/>
        </w:rPr>
      </w:pPr>
      <w:r w:rsidRPr="003951ED">
        <w:rPr>
          <w:lang w:eastAsia="el-GR"/>
        </w:rPr>
        <w:t>Η διαθεματικότητα αποτελεί βασικό χαρακτηριστικό των σύγχρονων προγραμμάτων σπουδών, καθώς προωθεί τη σύνδεση διαφορετικών γνωστικών αντικειμένων και τη δημιουργία νοηματικών συσχετίσεων (</w:t>
      </w:r>
      <w:proofErr w:type="spellStart"/>
      <w:r w:rsidRPr="003951ED">
        <w:rPr>
          <w:lang w:eastAsia="el-GR"/>
        </w:rPr>
        <w:t>Beane</w:t>
      </w:r>
      <w:proofErr w:type="spellEnd"/>
      <w:r w:rsidRPr="003951ED">
        <w:rPr>
          <w:lang w:eastAsia="el-GR"/>
        </w:rPr>
        <w:t xml:space="preserve">, 1997). Η διαθεματική προσέγγιση ενισχύει την κατανόηση της γνώσης ως ενιαίου συνόλου και επιτρέπει </w:t>
      </w:r>
      <w:r w:rsidR="00CA2FC2" w:rsidRPr="00CA2FC2">
        <w:rPr>
          <w:color w:val="FF0000"/>
          <w:lang w:eastAsia="el-GR"/>
        </w:rPr>
        <w:t xml:space="preserve">στους </w:t>
      </w:r>
      <w:r w:rsidRPr="00CA2FC2">
        <w:rPr>
          <w:color w:val="FF0000"/>
          <w:lang w:eastAsia="el-GR"/>
        </w:rPr>
        <w:t>μαθητές</w:t>
      </w:r>
      <w:r w:rsidRPr="003951ED">
        <w:rPr>
          <w:lang w:eastAsia="el-GR"/>
        </w:rPr>
        <w:t xml:space="preserve"> να εφαρμόζουν όσα μαθαίνουν σε πραγματικές καταστάσεις (</w:t>
      </w:r>
      <w:proofErr w:type="spellStart"/>
      <w:r w:rsidRPr="003951ED">
        <w:rPr>
          <w:lang w:eastAsia="el-GR"/>
        </w:rPr>
        <w:t>Drake</w:t>
      </w:r>
      <w:proofErr w:type="spellEnd"/>
      <w:r w:rsidRPr="003951ED">
        <w:rPr>
          <w:lang w:eastAsia="el-GR"/>
        </w:rPr>
        <w:t xml:space="preserve"> &amp; </w:t>
      </w:r>
      <w:proofErr w:type="spellStart"/>
      <w:r w:rsidRPr="003951ED">
        <w:rPr>
          <w:lang w:eastAsia="el-GR"/>
        </w:rPr>
        <w:t>Reid</w:t>
      </w:r>
      <w:proofErr w:type="spellEnd"/>
      <w:r w:rsidRPr="003951ED">
        <w:rPr>
          <w:lang w:eastAsia="el-GR"/>
        </w:rPr>
        <w:t>, 2018).</w:t>
      </w:r>
    </w:p>
    <w:p w14:paraId="6A9AF100" w14:textId="736734DF" w:rsidR="008E418D" w:rsidRPr="003951ED" w:rsidRDefault="008E418D" w:rsidP="001C71B7">
      <w:pPr>
        <w:spacing w:after="0" w:line="240" w:lineRule="auto"/>
        <w:ind w:firstLine="284"/>
        <w:jc w:val="both"/>
        <w:rPr>
          <w:lang w:eastAsia="el-GR"/>
        </w:rPr>
      </w:pPr>
      <w:r w:rsidRPr="003951ED">
        <w:rPr>
          <w:lang w:eastAsia="el-GR"/>
        </w:rPr>
        <w:t xml:space="preserve">Στο ελληνικό εκπαιδευτικό σύστημα, το Διαθεματικό Ενιαίο Πλαίσιο Προγραμμάτων Σπουδών (ΔΕΠΠΣ) και τα Αναλυτικά Προγράμματα Σπουδών (ΑΠΣ) προωθούν τη διαθεματική διδασκαλία και τη σύνδεση του σχολείου με την κοινωνία και τον πολιτισμό (Υπουργείο Παιδείας &amp; Ινστιτούτο Εκπαιδευτικής Πολιτικής, 2014). Η εφαρμογή διαθεματικών δράσεων </w:t>
      </w:r>
      <w:r w:rsidR="00423696" w:rsidRPr="00423696">
        <w:rPr>
          <w:color w:val="EE0000"/>
          <w:lang w:eastAsia="el-GR"/>
        </w:rPr>
        <w:t>ευνοεί</w:t>
      </w:r>
      <w:r w:rsidRPr="00423696">
        <w:rPr>
          <w:color w:val="EE0000"/>
          <w:lang w:eastAsia="el-GR"/>
        </w:rPr>
        <w:t xml:space="preserve"> τη </w:t>
      </w:r>
      <w:r w:rsidRPr="003951ED">
        <w:rPr>
          <w:lang w:eastAsia="el-GR"/>
        </w:rPr>
        <w:t xml:space="preserve">δημιουργία αυθεντικών μαθησιακών εμπειριών και ενισχύει τη μαθησιακή εμπλοκή των </w:t>
      </w:r>
      <w:r w:rsidRPr="00CA2FC2">
        <w:rPr>
          <w:color w:val="FF0000"/>
          <w:lang w:eastAsia="el-GR"/>
        </w:rPr>
        <w:t>μαθητών</w:t>
      </w:r>
      <w:r w:rsidR="00092871" w:rsidRPr="00092871">
        <w:t xml:space="preserve"> </w:t>
      </w:r>
      <w:r w:rsidR="00092871" w:rsidRPr="00092871">
        <w:rPr>
          <w:lang w:eastAsia="el-GR"/>
        </w:rPr>
        <w:t>(</w:t>
      </w:r>
      <w:proofErr w:type="spellStart"/>
      <w:r w:rsidR="00092871" w:rsidRPr="00092871">
        <w:rPr>
          <w:lang w:eastAsia="el-GR"/>
        </w:rPr>
        <w:t>Beane</w:t>
      </w:r>
      <w:proofErr w:type="spellEnd"/>
      <w:r w:rsidR="00092871" w:rsidRPr="00092871">
        <w:rPr>
          <w:lang w:eastAsia="el-GR"/>
        </w:rPr>
        <w:t>, 1997</w:t>
      </w:r>
      <w:r w:rsidR="003C4169">
        <w:rPr>
          <w:rFonts w:ascii="Calibri" w:hAnsi="Calibri" w:cs="Calibri"/>
        </w:rPr>
        <w:t>∙</w:t>
      </w:r>
      <w:r w:rsidR="00E101B0">
        <w:rPr>
          <w:rFonts w:ascii="Calibri" w:hAnsi="Calibri"/>
        </w:rPr>
        <w:t xml:space="preserve"> </w:t>
      </w:r>
      <w:proofErr w:type="spellStart"/>
      <w:r w:rsidR="00092871" w:rsidRPr="00092871">
        <w:rPr>
          <w:lang w:eastAsia="el-GR"/>
        </w:rPr>
        <w:t>Drake</w:t>
      </w:r>
      <w:proofErr w:type="spellEnd"/>
      <w:r w:rsidR="00092871" w:rsidRPr="00092871">
        <w:rPr>
          <w:lang w:eastAsia="el-GR"/>
        </w:rPr>
        <w:t xml:space="preserve"> &amp; </w:t>
      </w:r>
      <w:proofErr w:type="spellStart"/>
      <w:r w:rsidR="00092871" w:rsidRPr="00092871">
        <w:rPr>
          <w:lang w:eastAsia="el-GR"/>
        </w:rPr>
        <w:t>Reid</w:t>
      </w:r>
      <w:proofErr w:type="spellEnd"/>
      <w:r w:rsidR="00092871" w:rsidRPr="00092871">
        <w:rPr>
          <w:lang w:eastAsia="el-GR"/>
        </w:rPr>
        <w:t>, 2018)</w:t>
      </w:r>
      <w:r w:rsidRPr="003951ED">
        <w:rPr>
          <w:lang w:eastAsia="el-GR"/>
        </w:rPr>
        <w:t>.</w:t>
      </w:r>
    </w:p>
    <w:p w14:paraId="551C7154" w14:textId="77777777" w:rsidR="008E418D" w:rsidRPr="003951ED" w:rsidRDefault="008E418D" w:rsidP="001C71B7">
      <w:pPr>
        <w:spacing w:before="240" w:after="0" w:line="240" w:lineRule="auto"/>
        <w:ind w:firstLine="284"/>
        <w:jc w:val="both"/>
        <w:rPr>
          <w:i/>
          <w:lang w:eastAsia="el-GR"/>
        </w:rPr>
      </w:pPr>
      <w:r w:rsidRPr="003951ED">
        <w:rPr>
          <w:i/>
          <w:lang w:eastAsia="el-GR"/>
        </w:rPr>
        <w:t>Ρόλος των πολιτιστικών, καλλιτεχνικών και αθλητικών δράσεων</w:t>
      </w:r>
    </w:p>
    <w:p w14:paraId="3F3485AC" w14:textId="17FCB855" w:rsidR="008E418D" w:rsidRPr="003951ED" w:rsidRDefault="008E418D" w:rsidP="001C71B7">
      <w:pPr>
        <w:spacing w:after="0" w:line="240" w:lineRule="auto"/>
        <w:ind w:firstLine="284"/>
        <w:jc w:val="both"/>
        <w:rPr>
          <w:lang w:eastAsia="el-GR"/>
        </w:rPr>
      </w:pPr>
      <w:r w:rsidRPr="003951ED">
        <w:rPr>
          <w:lang w:eastAsia="el-GR"/>
        </w:rPr>
        <w:t xml:space="preserve">Οι πολιτιστικές και καλλιτεχνικές δράσεις διαδραματίζουν σημαντικό ρόλο στην ανάπτυξη της δημιουργικότητας, της αισθητικής αντίληψης και της συναισθηματικής έκφρασης των </w:t>
      </w:r>
      <w:r w:rsidRPr="00CA2FC2">
        <w:rPr>
          <w:color w:val="FF0000"/>
          <w:lang w:eastAsia="el-GR"/>
        </w:rPr>
        <w:t>μαθητών</w:t>
      </w:r>
      <w:r w:rsidRPr="003951ED">
        <w:rPr>
          <w:lang w:eastAsia="el-GR"/>
        </w:rPr>
        <w:t xml:space="preserve"> (</w:t>
      </w:r>
      <w:proofErr w:type="spellStart"/>
      <w:r w:rsidRPr="003951ED">
        <w:rPr>
          <w:lang w:eastAsia="el-GR"/>
        </w:rPr>
        <w:t>Eisner</w:t>
      </w:r>
      <w:proofErr w:type="spellEnd"/>
      <w:r w:rsidRPr="003951ED">
        <w:rPr>
          <w:lang w:eastAsia="el-GR"/>
        </w:rPr>
        <w:t>, 2002). Η συμμετοχή σε τέτοιες δραστηριότητες ενισχύει τη φαντασία και την ικανότητα συμβολικής σκέψης, ενώ παράλληλα συμβάλλει στη διαμόρφωση πολιτισμικής ταυτότητας (</w:t>
      </w:r>
      <w:proofErr w:type="spellStart"/>
      <w:r w:rsidR="00DF063F" w:rsidRPr="00DF063F">
        <w:rPr>
          <w:lang w:eastAsia="el-GR"/>
        </w:rPr>
        <w:t>Winner</w:t>
      </w:r>
      <w:proofErr w:type="spellEnd"/>
      <w:r w:rsidR="007439EE" w:rsidRPr="007439EE">
        <w:rPr>
          <w:rFonts w:ascii="Calibri" w:eastAsia="Times New Roman" w:hAnsi="Calibri" w:cs="Times New Roman"/>
          <w:lang w:eastAsia="zh-CN"/>
        </w:rPr>
        <w:t xml:space="preserve"> et </w:t>
      </w:r>
      <w:proofErr w:type="spellStart"/>
      <w:r w:rsidR="007439EE" w:rsidRPr="007439EE">
        <w:rPr>
          <w:rFonts w:ascii="Calibri" w:eastAsia="Times New Roman" w:hAnsi="Calibri" w:cs="Times New Roman"/>
          <w:lang w:eastAsia="zh-CN"/>
        </w:rPr>
        <w:t>al</w:t>
      </w:r>
      <w:proofErr w:type="spellEnd"/>
      <w:r w:rsidR="007439EE" w:rsidRPr="007439EE">
        <w:rPr>
          <w:rFonts w:ascii="Calibri" w:eastAsia="Times New Roman" w:hAnsi="Calibri" w:cs="Times New Roman"/>
          <w:lang w:eastAsia="zh-CN"/>
        </w:rPr>
        <w:t xml:space="preserve">., </w:t>
      </w:r>
      <w:r w:rsidR="00DF063F" w:rsidRPr="00DF063F">
        <w:rPr>
          <w:lang w:eastAsia="el-GR"/>
        </w:rPr>
        <w:t>2013</w:t>
      </w:r>
      <w:r w:rsidRPr="003951ED">
        <w:rPr>
          <w:lang w:eastAsia="el-GR"/>
        </w:rPr>
        <w:t>).</w:t>
      </w:r>
    </w:p>
    <w:p w14:paraId="5CF8EF60" w14:textId="7E6643CE" w:rsidR="008E418D" w:rsidRPr="003951ED" w:rsidRDefault="008E418D" w:rsidP="001C71B7">
      <w:pPr>
        <w:spacing w:after="0" w:line="240" w:lineRule="auto"/>
        <w:ind w:firstLine="284"/>
        <w:jc w:val="both"/>
        <w:rPr>
          <w:lang w:eastAsia="el-GR"/>
        </w:rPr>
      </w:pPr>
      <w:r w:rsidRPr="003951ED">
        <w:rPr>
          <w:lang w:eastAsia="el-GR"/>
        </w:rPr>
        <w:t>Παράλληλα, η συμμετοχή σε αθλητικές δραστηριότητες συνδέεται με τη βελτίωση της φυσικής κατάστασης, της αυτοπειθαρχίας και της κοινωνικής συμπεριφοράς (</w:t>
      </w:r>
      <w:proofErr w:type="spellStart"/>
      <w:r w:rsidRPr="003951ED">
        <w:rPr>
          <w:lang w:eastAsia="el-GR"/>
        </w:rPr>
        <w:t>Bailey</w:t>
      </w:r>
      <w:proofErr w:type="spellEnd"/>
      <w:r w:rsidRPr="003951ED">
        <w:rPr>
          <w:lang w:eastAsia="el-GR"/>
        </w:rPr>
        <w:t xml:space="preserve">, 2006). Οι </w:t>
      </w:r>
      <w:r w:rsidR="00423696" w:rsidRPr="00423696">
        <w:rPr>
          <w:color w:val="EE0000"/>
          <w:lang w:eastAsia="el-GR"/>
        </w:rPr>
        <w:t>συγκεκριμένες</w:t>
      </w:r>
      <w:r w:rsidR="00423696">
        <w:rPr>
          <w:lang w:eastAsia="el-GR"/>
        </w:rPr>
        <w:t xml:space="preserve"> </w:t>
      </w:r>
      <w:r w:rsidRPr="003951ED">
        <w:rPr>
          <w:lang w:eastAsia="el-GR"/>
        </w:rPr>
        <w:t>δράσεις προάγουν την ομαδικότητα, τον σεβασμό και την αποδοχή της διαφορετικότητας</w:t>
      </w:r>
      <w:r w:rsidR="003C665E">
        <w:rPr>
          <w:lang w:eastAsia="el-GR"/>
        </w:rPr>
        <w:t xml:space="preserve"> </w:t>
      </w:r>
      <w:r w:rsidRPr="003C665E">
        <w:rPr>
          <w:lang w:eastAsia="el-GR"/>
        </w:rPr>
        <w:t>(</w:t>
      </w:r>
      <w:proofErr w:type="spellStart"/>
      <w:r w:rsidRPr="003C665E">
        <w:rPr>
          <w:lang w:eastAsia="el-GR"/>
        </w:rPr>
        <w:t>Eisner</w:t>
      </w:r>
      <w:proofErr w:type="spellEnd"/>
      <w:r w:rsidRPr="003C665E">
        <w:rPr>
          <w:lang w:eastAsia="el-GR"/>
        </w:rPr>
        <w:t>, 2002)</w:t>
      </w:r>
      <w:r w:rsidRPr="003951ED">
        <w:rPr>
          <w:lang w:eastAsia="el-GR"/>
        </w:rPr>
        <w:t>.</w:t>
      </w:r>
    </w:p>
    <w:p w14:paraId="55041230" w14:textId="012EABC7" w:rsidR="008E418D" w:rsidRPr="003951ED" w:rsidRDefault="008E418D" w:rsidP="001C71B7">
      <w:pPr>
        <w:spacing w:after="0" w:line="240" w:lineRule="auto"/>
        <w:ind w:firstLine="284"/>
        <w:jc w:val="both"/>
        <w:rPr>
          <w:lang w:eastAsia="el-GR"/>
        </w:rPr>
      </w:pPr>
      <w:r w:rsidRPr="003951ED">
        <w:rPr>
          <w:lang w:eastAsia="el-GR"/>
        </w:rPr>
        <w:t xml:space="preserve">Επιπλέον, η συμμετοχή σε μαθηματικούς διαγωνισμούς και </w:t>
      </w:r>
      <w:r w:rsidR="00423696">
        <w:rPr>
          <w:lang w:eastAsia="el-GR"/>
        </w:rPr>
        <w:t xml:space="preserve">η </w:t>
      </w:r>
      <w:r w:rsidR="00423696" w:rsidRPr="00423696">
        <w:rPr>
          <w:color w:val="EE0000"/>
          <w:lang w:eastAsia="el-GR"/>
        </w:rPr>
        <w:t xml:space="preserve">ενασχόληση με </w:t>
      </w:r>
      <w:r w:rsidR="00423696">
        <w:rPr>
          <w:lang w:eastAsia="el-GR"/>
        </w:rPr>
        <w:t>την</w:t>
      </w:r>
      <w:r w:rsidRPr="003951ED">
        <w:rPr>
          <w:lang w:eastAsia="el-GR"/>
        </w:rPr>
        <w:t xml:space="preserve"> επίλυση προβλημάτων ενισχύει τη λογική σκέψη, τη δημιουργικότητα και την ικανότητα στρατηγικού σχεδιασμού (</w:t>
      </w:r>
      <w:proofErr w:type="spellStart"/>
      <w:r w:rsidRPr="003951ED">
        <w:rPr>
          <w:lang w:eastAsia="el-GR"/>
        </w:rPr>
        <w:t>Schoenfeld</w:t>
      </w:r>
      <w:proofErr w:type="spellEnd"/>
      <w:r w:rsidRPr="003951ED">
        <w:rPr>
          <w:lang w:eastAsia="el-GR"/>
        </w:rPr>
        <w:t xml:space="preserve">, 2016). Η μαθηματική σκέψη καλλιεργείται αποτελεσματικότερα μέσα από δραστηριότητες που προκαλούν </w:t>
      </w:r>
      <w:r w:rsidRPr="00CA2FC2">
        <w:rPr>
          <w:color w:val="FF0000"/>
          <w:lang w:eastAsia="el-GR"/>
        </w:rPr>
        <w:t xml:space="preserve">τον μαθητή </w:t>
      </w:r>
      <w:r w:rsidRPr="003951ED">
        <w:rPr>
          <w:lang w:eastAsia="el-GR"/>
        </w:rPr>
        <w:t>να διερευνήσει και να ανακαλύψει τη γνώση</w:t>
      </w:r>
      <w:r w:rsidR="00DF063F">
        <w:rPr>
          <w:lang w:eastAsia="el-GR"/>
        </w:rPr>
        <w:t xml:space="preserve"> (</w:t>
      </w:r>
      <w:proofErr w:type="spellStart"/>
      <w:r w:rsidR="00DF063F" w:rsidRPr="00DF063F">
        <w:rPr>
          <w:lang w:eastAsia="el-GR"/>
        </w:rPr>
        <w:t>Bruner</w:t>
      </w:r>
      <w:proofErr w:type="spellEnd"/>
      <w:r w:rsidR="00DF063F" w:rsidRPr="00DF063F">
        <w:rPr>
          <w:lang w:eastAsia="el-GR"/>
        </w:rPr>
        <w:t>, 1961</w:t>
      </w:r>
      <w:r w:rsidR="001B6A72">
        <w:rPr>
          <w:rFonts w:ascii="Calibri" w:hAnsi="Calibri" w:cs="Calibri"/>
        </w:rPr>
        <w:t>∙</w:t>
      </w:r>
      <w:r w:rsidR="00DF063F" w:rsidRPr="00DF063F">
        <w:rPr>
          <w:lang w:eastAsia="el-GR"/>
        </w:rPr>
        <w:t xml:space="preserve"> </w:t>
      </w:r>
      <w:proofErr w:type="spellStart"/>
      <w:r w:rsidR="00DF063F" w:rsidRPr="00DF063F">
        <w:rPr>
          <w:lang w:eastAsia="el-GR"/>
        </w:rPr>
        <w:t>Hiebert</w:t>
      </w:r>
      <w:proofErr w:type="spellEnd"/>
      <w:r w:rsidR="00DF063F" w:rsidRPr="00DF063F">
        <w:rPr>
          <w:lang w:eastAsia="el-GR"/>
        </w:rPr>
        <w:t xml:space="preserve"> </w:t>
      </w:r>
      <w:proofErr w:type="spellStart"/>
      <w:r w:rsidR="00DF063F" w:rsidRPr="00DF063F">
        <w:rPr>
          <w:lang w:eastAsia="el-GR"/>
        </w:rPr>
        <w:t>et</w:t>
      </w:r>
      <w:proofErr w:type="spellEnd"/>
      <w:r w:rsidR="00DF063F" w:rsidRPr="00DF063F">
        <w:rPr>
          <w:lang w:eastAsia="el-GR"/>
        </w:rPr>
        <w:t xml:space="preserve"> </w:t>
      </w:r>
      <w:proofErr w:type="spellStart"/>
      <w:r w:rsidR="00DF063F" w:rsidRPr="00DF063F">
        <w:rPr>
          <w:lang w:eastAsia="el-GR"/>
        </w:rPr>
        <w:t>al</w:t>
      </w:r>
      <w:proofErr w:type="spellEnd"/>
      <w:r w:rsidR="00DF063F" w:rsidRPr="00DF063F">
        <w:rPr>
          <w:lang w:eastAsia="el-GR"/>
        </w:rPr>
        <w:t>., 1996</w:t>
      </w:r>
      <w:r w:rsidR="001B6A72">
        <w:rPr>
          <w:rFonts w:ascii="Calibri" w:hAnsi="Calibri" w:cs="Calibri"/>
        </w:rPr>
        <w:t>∙</w:t>
      </w:r>
      <w:r w:rsidR="00DF063F" w:rsidRPr="00DF063F">
        <w:rPr>
          <w:lang w:eastAsia="el-GR"/>
        </w:rPr>
        <w:t xml:space="preserve"> OECD, 2019</w:t>
      </w:r>
      <w:r w:rsidR="00DF063F">
        <w:rPr>
          <w:lang w:eastAsia="el-GR"/>
        </w:rPr>
        <w:t>)</w:t>
      </w:r>
      <w:r w:rsidRPr="003951ED">
        <w:rPr>
          <w:lang w:eastAsia="el-GR"/>
        </w:rPr>
        <w:t>.</w:t>
      </w:r>
    </w:p>
    <w:p w14:paraId="183A8CE3" w14:textId="77777777" w:rsidR="008E418D" w:rsidRPr="003951ED" w:rsidRDefault="008E418D" w:rsidP="001C71B7">
      <w:pPr>
        <w:spacing w:before="240" w:after="0" w:line="240" w:lineRule="auto"/>
        <w:ind w:firstLine="284"/>
        <w:jc w:val="both"/>
        <w:rPr>
          <w:i/>
          <w:lang w:eastAsia="el-GR"/>
        </w:rPr>
      </w:pPr>
      <w:proofErr w:type="spellStart"/>
      <w:r w:rsidRPr="003951ED">
        <w:rPr>
          <w:i/>
          <w:lang w:eastAsia="el-GR"/>
        </w:rPr>
        <w:lastRenderedPageBreak/>
        <w:t>Αυτοαποτελεσματικότητα</w:t>
      </w:r>
      <w:proofErr w:type="spellEnd"/>
      <w:r w:rsidRPr="003951ED">
        <w:rPr>
          <w:i/>
          <w:lang w:eastAsia="el-GR"/>
        </w:rPr>
        <w:t xml:space="preserve"> και κίνητρα μάθησης</w:t>
      </w:r>
    </w:p>
    <w:p w14:paraId="193BA4F4" w14:textId="1B3B38CD" w:rsidR="008E418D" w:rsidRPr="003951ED" w:rsidRDefault="008E418D" w:rsidP="001C71B7">
      <w:pPr>
        <w:spacing w:after="0" w:line="240" w:lineRule="auto"/>
        <w:ind w:firstLine="284"/>
        <w:jc w:val="both"/>
        <w:rPr>
          <w:lang w:eastAsia="el-GR"/>
        </w:rPr>
      </w:pPr>
      <w:r w:rsidRPr="003951ED">
        <w:rPr>
          <w:lang w:eastAsia="el-GR"/>
        </w:rPr>
        <w:t xml:space="preserve">Η θεωρία της </w:t>
      </w:r>
      <w:proofErr w:type="spellStart"/>
      <w:r w:rsidRPr="003951ED">
        <w:rPr>
          <w:lang w:eastAsia="el-GR"/>
        </w:rPr>
        <w:t>αυτοαποτελεσματικότητας</w:t>
      </w:r>
      <w:proofErr w:type="spellEnd"/>
      <w:r w:rsidRPr="003951ED">
        <w:rPr>
          <w:lang w:eastAsia="el-GR"/>
        </w:rPr>
        <w:t xml:space="preserve"> του </w:t>
      </w:r>
      <w:proofErr w:type="spellStart"/>
      <w:r w:rsidRPr="003951ED">
        <w:rPr>
          <w:lang w:eastAsia="el-GR"/>
        </w:rPr>
        <w:t>Bandura</w:t>
      </w:r>
      <w:proofErr w:type="spellEnd"/>
      <w:r w:rsidRPr="003951ED">
        <w:rPr>
          <w:lang w:eastAsia="el-GR"/>
        </w:rPr>
        <w:t xml:space="preserve"> (1997) υποστηρίζει ότι οι πεποιθήσεις των </w:t>
      </w:r>
      <w:r w:rsidRPr="00CA2FC2">
        <w:rPr>
          <w:color w:val="FF0000"/>
          <w:lang w:eastAsia="el-GR"/>
        </w:rPr>
        <w:t>μαθητών</w:t>
      </w:r>
      <w:r w:rsidRPr="003951ED">
        <w:rPr>
          <w:lang w:eastAsia="el-GR"/>
        </w:rPr>
        <w:t xml:space="preserve"> σχετικά με τις ικανότητές τους επηρεάζουν σημαντικά τη μαθησιακή τους συμπεριφορά. Οι επιτυχημένες εμπειρίες μέσα από δράσεις και δραστηριότητες ενισχύουν την αυτοπεποίθηση των </w:t>
      </w:r>
      <w:r w:rsidRPr="00CA2FC2">
        <w:rPr>
          <w:color w:val="FF0000"/>
          <w:lang w:eastAsia="el-GR"/>
        </w:rPr>
        <w:t>μαθητών</w:t>
      </w:r>
      <w:r w:rsidRPr="003951ED">
        <w:rPr>
          <w:lang w:eastAsia="el-GR"/>
        </w:rPr>
        <w:t xml:space="preserve"> και αυξάνουν τα κίνητρα για μάθηση</w:t>
      </w:r>
      <w:r w:rsidR="00DF063F">
        <w:rPr>
          <w:lang w:eastAsia="el-GR"/>
        </w:rPr>
        <w:t xml:space="preserve"> </w:t>
      </w:r>
      <w:r w:rsidR="00DF063F" w:rsidRPr="00DF063F">
        <w:rPr>
          <w:lang w:eastAsia="el-GR"/>
        </w:rPr>
        <w:t>(</w:t>
      </w:r>
      <w:proofErr w:type="spellStart"/>
      <w:r w:rsidR="009B1B7A" w:rsidRPr="00DF063F">
        <w:rPr>
          <w:lang w:eastAsia="el-GR"/>
        </w:rPr>
        <w:t>Bandura</w:t>
      </w:r>
      <w:proofErr w:type="spellEnd"/>
      <w:r w:rsidR="009B1B7A" w:rsidRPr="00DF063F">
        <w:rPr>
          <w:lang w:eastAsia="el-GR"/>
        </w:rPr>
        <w:t>, 1997</w:t>
      </w:r>
      <w:r w:rsidR="009B1B7A">
        <w:rPr>
          <w:rFonts w:cstheme="minorHAnsi"/>
          <w:lang w:eastAsia="el-GR"/>
        </w:rPr>
        <w:t>∙</w:t>
      </w:r>
      <w:r w:rsidR="009B1B7A">
        <w:rPr>
          <w:lang w:eastAsia="el-GR"/>
        </w:rPr>
        <w:t xml:space="preserve"> </w:t>
      </w:r>
      <w:proofErr w:type="spellStart"/>
      <w:r w:rsidR="00DF063F" w:rsidRPr="00DF063F">
        <w:rPr>
          <w:lang w:eastAsia="el-GR"/>
        </w:rPr>
        <w:t>Schunk</w:t>
      </w:r>
      <w:proofErr w:type="spellEnd"/>
      <w:r w:rsidR="00DF063F" w:rsidRPr="00DF063F">
        <w:rPr>
          <w:lang w:eastAsia="el-GR"/>
        </w:rPr>
        <w:t>, 1991)</w:t>
      </w:r>
      <w:r w:rsidRPr="003951ED">
        <w:rPr>
          <w:lang w:eastAsia="el-GR"/>
        </w:rPr>
        <w:t>.</w:t>
      </w:r>
    </w:p>
    <w:p w14:paraId="2033D8DE" w14:textId="2AB084C5" w:rsidR="004949DB" w:rsidRPr="00201B25" w:rsidRDefault="008E418D" w:rsidP="001C71B7">
      <w:pPr>
        <w:spacing w:after="0" w:line="240" w:lineRule="auto"/>
        <w:ind w:firstLine="284"/>
        <w:jc w:val="both"/>
        <w:rPr>
          <w:lang w:eastAsia="el-GR"/>
        </w:rPr>
      </w:pPr>
      <w:r w:rsidRPr="003951ED">
        <w:rPr>
          <w:lang w:eastAsia="el-GR"/>
        </w:rPr>
        <w:t xml:space="preserve">Η ενίσχυση των εσωτερικών κινήτρων αποτελεί βασικό παράγοντα για τη διατήρηση του ενδιαφέροντος των </w:t>
      </w:r>
      <w:r w:rsidRPr="00CA2FC2">
        <w:rPr>
          <w:color w:val="FF0000"/>
          <w:lang w:eastAsia="el-GR"/>
        </w:rPr>
        <w:t>μαθητών</w:t>
      </w:r>
      <w:r w:rsidRPr="003951ED">
        <w:rPr>
          <w:lang w:eastAsia="el-GR"/>
        </w:rPr>
        <w:t xml:space="preserve"> και τη βελτίωση της μαθησιακής τους επίδοσης (</w:t>
      </w:r>
      <w:proofErr w:type="spellStart"/>
      <w:r w:rsidRPr="003951ED">
        <w:rPr>
          <w:lang w:eastAsia="el-GR"/>
        </w:rPr>
        <w:t>Ryan</w:t>
      </w:r>
      <w:proofErr w:type="spellEnd"/>
      <w:r w:rsidRPr="003951ED">
        <w:rPr>
          <w:lang w:eastAsia="el-GR"/>
        </w:rPr>
        <w:t xml:space="preserve"> &amp; </w:t>
      </w:r>
      <w:proofErr w:type="spellStart"/>
      <w:r w:rsidRPr="003951ED">
        <w:rPr>
          <w:lang w:eastAsia="el-GR"/>
        </w:rPr>
        <w:t>Deci</w:t>
      </w:r>
      <w:proofErr w:type="spellEnd"/>
      <w:r w:rsidRPr="003951ED">
        <w:rPr>
          <w:lang w:eastAsia="el-GR"/>
        </w:rPr>
        <w:t xml:space="preserve">, 2000). Οι βιωματικές και δημιουργικές δραστηριότητες </w:t>
      </w:r>
      <w:r w:rsidRPr="00FC59C5">
        <w:rPr>
          <w:color w:val="EE0000"/>
          <w:lang w:eastAsia="el-GR"/>
        </w:rPr>
        <w:t>συ</w:t>
      </w:r>
      <w:r w:rsidR="00FC59C5" w:rsidRPr="00FC59C5">
        <w:rPr>
          <w:color w:val="EE0000"/>
          <w:lang w:eastAsia="el-GR"/>
        </w:rPr>
        <w:t>ντελ</w:t>
      </w:r>
      <w:r w:rsidRPr="00FC59C5">
        <w:rPr>
          <w:color w:val="EE0000"/>
          <w:lang w:eastAsia="el-GR"/>
        </w:rPr>
        <w:t>ο</w:t>
      </w:r>
      <w:r w:rsidR="00FC59C5" w:rsidRPr="00FC59C5">
        <w:rPr>
          <w:color w:val="EE0000"/>
          <w:lang w:eastAsia="el-GR"/>
        </w:rPr>
        <w:t>ύ</w:t>
      </w:r>
      <w:r w:rsidRPr="00FC59C5">
        <w:rPr>
          <w:color w:val="EE0000"/>
          <w:lang w:eastAsia="el-GR"/>
        </w:rPr>
        <w:t>ν</w:t>
      </w:r>
      <w:r w:rsidRPr="003951ED">
        <w:rPr>
          <w:lang w:eastAsia="el-GR"/>
        </w:rPr>
        <w:t xml:space="preserve"> καθοριστικά προς αυτή την </w:t>
      </w:r>
      <w:r w:rsidRPr="00201B25">
        <w:rPr>
          <w:lang w:eastAsia="el-GR"/>
        </w:rPr>
        <w:t>κατεύθυνση</w:t>
      </w:r>
      <w:r w:rsidR="00DF063F" w:rsidRPr="00201B25">
        <w:rPr>
          <w:lang w:eastAsia="el-GR"/>
        </w:rPr>
        <w:t xml:space="preserve"> (</w:t>
      </w:r>
      <w:proofErr w:type="spellStart"/>
      <w:r w:rsidR="00201B25" w:rsidRPr="00201B25">
        <w:rPr>
          <w:lang w:eastAsia="el-GR"/>
        </w:rPr>
        <w:t>Deci</w:t>
      </w:r>
      <w:proofErr w:type="spellEnd"/>
      <w:r w:rsidR="00201B25" w:rsidRPr="00201B25">
        <w:rPr>
          <w:lang w:eastAsia="el-GR"/>
        </w:rPr>
        <w:t xml:space="preserve"> &amp; </w:t>
      </w:r>
      <w:proofErr w:type="spellStart"/>
      <w:r w:rsidR="00201B25" w:rsidRPr="00201B25">
        <w:rPr>
          <w:lang w:eastAsia="el-GR"/>
        </w:rPr>
        <w:t>Ryan</w:t>
      </w:r>
      <w:proofErr w:type="spellEnd"/>
      <w:r w:rsidR="00201B25" w:rsidRPr="00201B25">
        <w:rPr>
          <w:lang w:eastAsia="el-GR"/>
        </w:rPr>
        <w:t>, 2000</w:t>
      </w:r>
      <w:r w:rsidR="00201B25">
        <w:rPr>
          <w:rFonts w:cstheme="minorHAnsi"/>
          <w:lang w:eastAsia="el-GR"/>
        </w:rPr>
        <w:t>∙</w:t>
      </w:r>
      <w:r w:rsidR="00201B25" w:rsidRPr="00201B25">
        <w:rPr>
          <w:lang w:eastAsia="el-GR"/>
        </w:rPr>
        <w:t xml:space="preserve"> </w:t>
      </w:r>
      <w:proofErr w:type="spellStart"/>
      <w:r w:rsidR="00DF063F" w:rsidRPr="00201B25">
        <w:rPr>
          <w:lang w:eastAsia="el-GR"/>
        </w:rPr>
        <w:t>Kolb</w:t>
      </w:r>
      <w:proofErr w:type="spellEnd"/>
      <w:r w:rsidR="00DF063F" w:rsidRPr="00201B25">
        <w:rPr>
          <w:lang w:eastAsia="el-GR"/>
        </w:rPr>
        <w:t>, 1984)</w:t>
      </w:r>
      <w:r w:rsidRPr="00201B25">
        <w:rPr>
          <w:lang w:eastAsia="el-GR"/>
        </w:rPr>
        <w:t>.</w:t>
      </w:r>
    </w:p>
    <w:p w14:paraId="00138748" w14:textId="77777777" w:rsidR="00B55531" w:rsidRPr="001C71B7" w:rsidRDefault="00B55531" w:rsidP="001C71B7">
      <w:pPr>
        <w:spacing w:before="240" w:after="0" w:line="240" w:lineRule="auto"/>
        <w:ind w:firstLine="284"/>
        <w:jc w:val="both"/>
        <w:rPr>
          <w:b/>
          <w:lang w:eastAsia="el-GR"/>
        </w:rPr>
      </w:pPr>
      <w:r w:rsidRPr="001C71B7">
        <w:rPr>
          <w:b/>
          <w:lang w:eastAsia="el-GR"/>
        </w:rPr>
        <w:t>Μεθοδολογία</w:t>
      </w:r>
    </w:p>
    <w:p w14:paraId="08398557" w14:textId="77777777" w:rsidR="00B55531" w:rsidRPr="003951ED" w:rsidRDefault="00B55531" w:rsidP="001C71B7">
      <w:pPr>
        <w:spacing w:after="0" w:line="240" w:lineRule="auto"/>
        <w:ind w:firstLine="284"/>
        <w:jc w:val="both"/>
        <w:rPr>
          <w:i/>
          <w:lang w:eastAsia="el-GR"/>
        </w:rPr>
      </w:pPr>
      <w:r w:rsidRPr="003951ED">
        <w:rPr>
          <w:i/>
          <w:lang w:eastAsia="el-GR"/>
        </w:rPr>
        <w:t>Ερευνητικός σχεδιασμός</w:t>
      </w:r>
    </w:p>
    <w:p w14:paraId="21BD0638" w14:textId="5C470825" w:rsidR="00B55531" w:rsidRPr="003951ED" w:rsidRDefault="00B55531" w:rsidP="001C71B7">
      <w:pPr>
        <w:spacing w:after="0" w:line="240" w:lineRule="auto"/>
        <w:ind w:firstLine="284"/>
        <w:jc w:val="both"/>
        <w:rPr>
          <w:lang w:eastAsia="el-GR"/>
        </w:rPr>
      </w:pPr>
      <w:r w:rsidRPr="003951ED">
        <w:rPr>
          <w:lang w:eastAsia="el-GR"/>
        </w:rPr>
        <w:t>Η παρούσα μελέτη βασίστηκε σε μικτή μεθοδολογική προσέγγιση (</w:t>
      </w:r>
      <w:proofErr w:type="spellStart"/>
      <w:r w:rsidRPr="003951ED">
        <w:rPr>
          <w:lang w:eastAsia="el-GR"/>
        </w:rPr>
        <w:t>mixed-methods</w:t>
      </w:r>
      <w:proofErr w:type="spellEnd"/>
      <w:r w:rsidRPr="003951ED">
        <w:rPr>
          <w:lang w:eastAsia="el-GR"/>
        </w:rPr>
        <w:t xml:space="preserve"> </w:t>
      </w:r>
      <w:proofErr w:type="spellStart"/>
      <w:r w:rsidRPr="003951ED">
        <w:rPr>
          <w:lang w:eastAsia="el-GR"/>
        </w:rPr>
        <w:t>research</w:t>
      </w:r>
      <w:proofErr w:type="spellEnd"/>
      <w:r w:rsidRPr="003951ED">
        <w:rPr>
          <w:lang w:eastAsia="el-GR"/>
        </w:rPr>
        <w:t xml:space="preserve">), συνδυάζοντας ποσοτικά και ποιοτικά δεδομένα, με στόχο την πληρέστερη κατανόηση του υπό διερεύνηση φαινομένου </w:t>
      </w:r>
      <w:r w:rsidR="00413C9C" w:rsidRPr="00413C9C">
        <w:rPr>
          <w:lang w:eastAsia="el-GR"/>
        </w:rPr>
        <w:t>(</w:t>
      </w:r>
      <w:proofErr w:type="spellStart"/>
      <w:r w:rsidR="00413C9C" w:rsidRPr="00413C9C">
        <w:rPr>
          <w:lang w:eastAsia="el-GR"/>
        </w:rPr>
        <w:t>Creswell</w:t>
      </w:r>
      <w:proofErr w:type="spellEnd"/>
      <w:r w:rsidR="00413C9C" w:rsidRPr="00413C9C">
        <w:rPr>
          <w:lang w:eastAsia="el-GR"/>
        </w:rPr>
        <w:t xml:space="preserve"> &amp; </w:t>
      </w:r>
      <w:proofErr w:type="spellStart"/>
      <w:r w:rsidR="00413C9C" w:rsidRPr="00413C9C">
        <w:rPr>
          <w:lang w:eastAsia="el-GR"/>
        </w:rPr>
        <w:t>Plano</w:t>
      </w:r>
      <w:proofErr w:type="spellEnd"/>
      <w:r w:rsidR="00413C9C" w:rsidRPr="00413C9C">
        <w:rPr>
          <w:lang w:eastAsia="el-GR"/>
        </w:rPr>
        <w:t xml:space="preserve"> </w:t>
      </w:r>
      <w:proofErr w:type="spellStart"/>
      <w:r w:rsidR="00413C9C" w:rsidRPr="00413C9C">
        <w:rPr>
          <w:lang w:eastAsia="el-GR"/>
        </w:rPr>
        <w:t>Clark</w:t>
      </w:r>
      <w:proofErr w:type="spellEnd"/>
      <w:r w:rsidR="00413C9C" w:rsidRPr="00413C9C">
        <w:rPr>
          <w:lang w:eastAsia="el-GR"/>
        </w:rPr>
        <w:t>, 2018)</w:t>
      </w:r>
      <w:r w:rsidRPr="003951ED">
        <w:rPr>
          <w:lang w:eastAsia="el-GR"/>
        </w:rPr>
        <w:t xml:space="preserve">. Η επιλογή της μικτής μεθόδου κρίθηκε κατάλληλη, </w:t>
      </w:r>
      <w:r w:rsidR="00FC59C5" w:rsidRPr="00FC59C5">
        <w:rPr>
          <w:color w:val="EE0000"/>
          <w:lang w:eastAsia="el-GR"/>
        </w:rPr>
        <w:t>επειδή</w:t>
      </w:r>
      <w:r w:rsidRPr="003951ED">
        <w:rPr>
          <w:lang w:eastAsia="el-GR"/>
        </w:rPr>
        <w:t xml:space="preserve"> επιτρέπει τη συμπληρωματικότητα των δεδομένων και την ενίσχυση της εγκυρότητας των ευρημάτων μέσω </w:t>
      </w:r>
      <w:proofErr w:type="spellStart"/>
      <w:r w:rsidRPr="003951ED">
        <w:rPr>
          <w:lang w:eastAsia="el-GR"/>
        </w:rPr>
        <w:t>τριγωνοποίησης</w:t>
      </w:r>
      <w:proofErr w:type="spellEnd"/>
      <w:r w:rsidRPr="003951ED">
        <w:rPr>
          <w:lang w:eastAsia="el-GR"/>
        </w:rPr>
        <w:t xml:space="preserve"> (</w:t>
      </w:r>
      <w:proofErr w:type="spellStart"/>
      <w:r w:rsidRPr="003951ED">
        <w:rPr>
          <w:lang w:eastAsia="el-GR"/>
        </w:rPr>
        <w:t>triangulation</w:t>
      </w:r>
      <w:proofErr w:type="spellEnd"/>
      <w:r w:rsidRPr="003951ED">
        <w:rPr>
          <w:lang w:eastAsia="el-GR"/>
        </w:rPr>
        <w:t>)</w:t>
      </w:r>
      <w:r w:rsidR="00D55E59">
        <w:rPr>
          <w:lang w:eastAsia="el-GR"/>
        </w:rPr>
        <w:t xml:space="preserve"> </w:t>
      </w:r>
      <w:r w:rsidR="00D55E59" w:rsidRPr="00D55E59">
        <w:rPr>
          <w:lang w:eastAsia="el-GR"/>
        </w:rPr>
        <w:t>(</w:t>
      </w:r>
      <w:proofErr w:type="spellStart"/>
      <w:r w:rsidR="00D55E59" w:rsidRPr="00D55E59">
        <w:rPr>
          <w:lang w:eastAsia="el-GR"/>
        </w:rPr>
        <w:t>Bryman</w:t>
      </w:r>
      <w:proofErr w:type="spellEnd"/>
      <w:r w:rsidR="00D55E59">
        <w:rPr>
          <w:lang w:eastAsia="el-GR"/>
        </w:rPr>
        <w:t>,</w:t>
      </w:r>
      <w:r w:rsidR="00D55E59" w:rsidRPr="00D55E59">
        <w:rPr>
          <w:lang w:eastAsia="el-GR"/>
        </w:rPr>
        <w:t xml:space="preserve"> 2017)</w:t>
      </w:r>
      <w:r w:rsidRPr="003951ED">
        <w:rPr>
          <w:lang w:eastAsia="el-GR"/>
        </w:rPr>
        <w:t>.</w:t>
      </w:r>
    </w:p>
    <w:p w14:paraId="6BA44889" w14:textId="07BDE5DF" w:rsidR="00B55531" w:rsidRPr="003951ED" w:rsidRDefault="00B55531" w:rsidP="001C71B7">
      <w:pPr>
        <w:spacing w:after="0" w:line="240" w:lineRule="auto"/>
        <w:ind w:firstLine="284"/>
        <w:jc w:val="both"/>
        <w:rPr>
          <w:lang w:eastAsia="el-GR"/>
        </w:rPr>
      </w:pPr>
      <w:r w:rsidRPr="003951ED">
        <w:rPr>
          <w:lang w:eastAsia="el-GR"/>
        </w:rPr>
        <w:t>Η έρευνα έχει περιγραφικό και ερμηνευτικό χαρακτήρα, καθώς αποσκοπεί αφενός στην αποτύπωση των στάσεων και αντιλήψεων των εκπαιδευτικών και αφετέρου στην ερμηνεία της συμβολής των εκπαιδευτικών δράσεων στη μαθησιακή διαδικασία</w:t>
      </w:r>
      <w:r w:rsidR="00D55E59">
        <w:rPr>
          <w:lang w:eastAsia="el-GR"/>
        </w:rPr>
        <w:t xml:space="preserve"> </w:t>
      </w:r>
      <w:r w:rsidR="00D55E59" w:rsidRPr="00D55E59">
        <w:rPr>
          <w:lang w:eastAsia="el-GR"/>
        </w:rPr>
        <w:t>(</w:t>
      </w:r>
      <w:r w:rsidR="00961B54" w:rsidRPr="003D1449">
        <w:rPr>
          <w:lang w:val="en-US" w:eastAsia="el-GR"/>
        </w:rPr>
        <w:t>Cohen</w:t>
      </w:r>
      <w:r w:rsidR="00961B54" w:rsidRPr="007439EE">
        <w:rPr>
          <w:rFonts w:ascii="Calibri" w:eastAsia="Times New Roman" w:hAnsi="Calibri" w:cs="Times New Roman"/>
          <w:lang w:eastAsia="zh-CN"/>
        </w:rPr>
        <w:t xml:space="preserve"> </w:t>
      </w:r>
      <w:proofErr w:type="spellStart"/>
      <w:r w:rsidR="00961B54" w:rsidRPr="007439EE">
        <w:rPr>
          <w:rFonts w:ascii="Calibri" w:eastAsia="Times New Roman" w:hAnsi="Calibri" w:cs="Times New Roman"/>
          <w:lang w:eastAsia="zh-CN"/>
        </w:rPr>
        <w:t>et</w:t>
      </w:r>
      <w:proofErr w:type="spellEnd"/>
      <w:r w:rsidR="00961B54" w:rsidRPr="007439EE">
        <w:rPr>
          <w:rFonts w:ascii="Calibri" w:eastAsia="Times New Roman" w:hAnsi="Calibri" w:cs="Times New Roman"/>
          <w:lang w:eastAsia="zh-CN"/>
        </w:rPr>
        <w:t xml:space="preserve"> </w:t>
      </w:r>
      <w:proofErr w:type="spellStart"/>
      <w:r w:rsidR="00961B54" w:rsidRPr="007439EE">
        <w:rPr>
          <w:rFonts w:ascii="Calibri" w:eastAsia="Times New Roman" w:hAnsi="Calibri" w:cs="Times New Roman"/>
          <w:lang w:eastAsia="zh-CN"/>
        </w:rPr>
        <w:t>al</w:t>
      </w:r>
      <w:proofErr w:type="spellEnd"/>
      <w:r w:rsidR="00961B54" w:rsidRPr="007439EE">
        <w:rPr>
          <w:rFonts w:ascii="Calibri" w:eastAsia="Times New Roman" w:hAnsi="Calibri" w:cs="Times New Roman"/>
          <w:lang w:eastAsia="zh-CN"/>
        </w:rPr>
        <w:t xml:space="preserve">., </w:t>
      </w:r>
      <w:r w:rsidR="00961B54" w:rsidRPr="00D55E59">
        <w:rPr>
          <w:lang w:eastAsia="el-GR"/>
        </w:rPr>
        <w:t>2018</w:t>
      </w:r>
      <w:r w:rsidR="00961B54">
        <w:rPr>
          <w:rFonts w:cstheme="minorHAnsi"/>
          <w:lang w:eastAsia="el-GR"/>
        </w:rPr>
        <w:t>∙</w:t>
      </w:r>
      <w:r w:rsidR="00961B54">
        <w:rPr>
          <w:lang w:eastAsia="el-GR"/>
        </w:rPr>
        <w:t xml:space="preserve"> </w:t>
      </w:r>
      <w:proofErr w:type="spellStart"/>
      <w:r w:rsidR="00D55E59" w:rsidRPr="00D55E59">
        <w:rPr>
          <w:lang w:eastAsia="el-GR"/>
        </w:rPr>
        <w:t>Merriam</w:t>
      </w:r>
      <w:proofErr w:type="spellEnd"/>
      <w:r w:rsidR="00D55E59" w:rsidRPr="00D55E59">
        <w:rPr>
          <w:lang w:eastAsia="el-GR"/>
        </w:rPr>
        <w:t xml:space="preserve"> &amp; </w:t>
      </w:r>
      <w:proofErr w:type="spellStart"/>
      <w:r w:rsidR="00D55E59" w:rsidRPr="00D55E59">
        <w:rPr>
          <w:lang w:eastAsia="el-GR"/>
        </w:rPr>
        <w:t>Tisdell</w:t>
      </w:r>
      <w:proofErr w:type="spellEnd"/>
      <w:r w:rsidR="00D55E59" w:rsidRPr="00D55E59">
        <w:rPr>
          <w:lang w:eastAsia="el-GR"/>
        </w:rPr>
        <w:t>, 2016</w:t>
      </w:r>
      <w:r w:rsidR="00D55E59">
        <w:rPr>
          <w:lang w:eastAsia="el-GR"/>
        </w:rPr>
        <w:t>)</w:t>
      </w:r>
      <w:r w:rsidRPr="003951ED">
        <w:rPr>
          <w:lang w:eastAsia="el-GR"/>
        </w:rPr>
        <w:t>.</w:t>
      </w:r>
      <w:r w:rsidR="00E47AA5">
        <w:rPr>
          <w:lang w:eastAsia="el-GR"/>
        </w:rPr>
        <w:t xml:space="preserve"> </w:t>
      </w:r>
    </w:p>
    <w:p w14:paraId="187F8E42" w14:textId="77777777" w:rsidR="00B55531" w:rsidRPr="003951ED" w:rsidRDefault="00B55531" w:rsidP="00214725">
      <w:pPr>
        <w:spacing w:before="240" w:after="0" w:line="240" w:lineRule="auto"/>
        <w:ind w:firstLine="284"/>
        <w:jc w:val="both"/>
        <w:rPr>
          <w:i/>
          <w:lang w:eastAsia="el-GR"/>
        </w:rPr>
      </w:pPr>
      <w:r w:rsidRPr="003951ED">
        <w:rPr>
          <w:i/>
          <w:lang w:eastAsia="el-GR"/>
        </w:rPr>
        <w:t>Δείγμα και πλαίσιο έρευνας</w:t>
      </w:r>
    </w:p>
    <w:p w14:paraId="70812F66" w14:textId="4DF6B00C" w:rsidR="00B55531" w:rsidRPr="003951ED" w:rsidRDefault="00B55531" w:rsidP="001C71B7">
      <w:pPr>
        <w:spacing w:after="0" w:line="240" w:lineRule="auto"/>
        <w:ind w:firstLine="284"/>
        <w:jc w:val="both"/>
        <w:rPr>
          <w:lang w:eastAsia="el-GR"/>
        </w:rPr>
      </w:pPr>
      <w:r w:rsidRPr="003951ED">
        <w:rPr>
          <w:lang w:eastAsia="el-GR"/>
        </w:rPr>
        <w:t>Το δείγμα της έρευνας αποτέλεσαν 17 εκπαιδευτικοί που υπηρετού</w:t>
      </w:r>
      <w:r w:rsidR="006659EA">
        <w:rPr>
          <w:lang w:eastAsia="el-GR"/>
        </w:rPr>
        <w:t>σαν</w:t>
      </w:r>
      <w:r w:rsidRPr="003951ED">
        <w:rPr>
          <w:lang w:eastAsia="el-GR"/>
        </w:rPr>
        <w:t xml:space="preserve"> σε δημόσια σχολική μονάδα πρωτοβάθμιας εκπαίδευσης</w:t>
      </w:r>
      <w:r w:rsidR="006659EA">
        <w:rPr>
          <w:lang w:eastAsia="el-GR"/>
        </w:rPr>
        <w:t xml:space="preserve"> </w:t>
      </w:r>
      <w:r w:rsidR="0016016C">
        <w:rPr>
          <w:lang w:eastAsia="el-GR"/>
        </w:rPr>
        <w:t xml:space="preserve">στην </w:t>
      </w:r>
      <w:r w:rsidR="006659EA" w:rsidRPr="006659EA">
        <w:rPr>
          <w:lang w:eastAsia="el-GR"/>
        </w:rPr>
        <w:t>Καρδίτσα κατά το σχολικό έτος 2025-2026</w:t>
      </w:r>
      <w:r w:rsidRPr="003951ED">
        <w:rPr>
          <w:lang w:eastAsia="el-GR"/>
        </w:rPr>
        <w:t>. Η επιλογή του δείγματος βασίστηκε σε ευκαιριακή δειγματοληψία (</w:t>
      </w:r>
      <w:proofErr w:type="spellStart"/>
      <w:r w:rsidRPr="003951ED">
        <w:rPr>
          <w:lang w:eastAsia="el-GR"/>
        </w:rPr>
        <w:t>convenience</w:t>
      </w:r>
      <w:proofErr w:type="spellEnd"/>
      <w:r w:rsidRPr="003951ED">
        <w:rPr>
          <w:lang w:eastAsia="el-GR"/>
        </w:rPr>
        <w:t xml:space="preserve"> </w:t>
      </w:r>
      <w:proofErr w:type="spellStart"/>
      <w:r w:rsidRPr="003951ED">
        <w:rPr>
          <w:lang w:eastAsia="el-GR"/>
        </w:rPr>
        <w:t>sampling</w:t>
      </w:r>
      <w:proofErr w:type="spellEnd"/>
      <w:r w:rsidRPr="003951ED">
        <w:rPr>
          <w:lang w:eastAsia="el-GR"/>
        </w:rPr>
        <w:t>), καθώς συμμετείχαν όσοι εκπαιδευτικοί ανταποκρίθηκαν εθελοντικά στη συμπλήρωση του ερωτηματολογίου</w:t>
      </w:r>
      <w:r w:rsidR="00413C9C">
        <w:rPr>
          <w:lang w:eastAsia="el-GR"/>
        </w:rPr>
        <w:t xml:space="preserve"> </w:t>
      </w:r>
      <w:r w:rsidR="00413C9C" w:rsidRPr="00413C9C">
        <w:rPr>
          <w:lang w:eastAsia="el-GR"/>
        </w:rPr>
        <w:t>(</w:t>
      </w:r>
      <w:r w:rsidR="00413C9C" w:rsidRPr="00413C9C">
        <w:rPr>
          <w:lang w:val="en-US" w:eastAsia="el-GR"/>
        </w:rPr>
        <w:t>Cohen</w:t>
      </w:r>
      <w:r w:rsidR="007439EE" w:rsidRPr="007439EE">
        <w:rPr>
          <w:rFonts w:ascii="Calibri" w:hAnsi="Calibri"/>
        </w:rPr>
        <w:t xml:space="preserve"> </w:t>
      </w:r>
      <w:proofErr w:type="spellStart"/>
      <w:r w:rsidR="007439EE" w:rsidRPr="00CF2E39">
        <w:rPr>
          <w:rFonts w:ascii="Calibri" w:hAnsi="Calibri"/>
        </w:rPr>
        <w:t>et</w:t>
      </w:r>
      <w:proofErr w:type="spellEnd"/>
      <w:r w:rsidR="007439EE" w:rsidRPr="00CF2E39">
        <w:rPr>
          <w:rFonts w:ascii="Calibri" w:hAnsi="Calibri"/>
        </w:rPr>
        <w:t xml:space="preserve"> al., </w:t>
      </w:r>
      <w:r w:rsidR="00413C9C" w:rsidRPr="00413C9C">
        <w:rPr>
          <w:lang w:eastAsia="el-GR"/>
        </w:rPr>
        <w:t xml:space="preserve"> 2018)</w:t>
      </w:r>
      <w:r w:rsidRPr="003951ED">
        <w:rPr>
          <w:lang w:eastAsia="el-GR"/>
        </w:rPr>
        <w:t>.</w:t>
      </w:r>
    </w:p>
    <w:p w14:paraId="27044974" w14:textId="7299A1D6" w:rsidR="00B55531" w:rsidRDefault="00B55531" w:rsidP="001C71B7">
      <w:pPr>
        <w:spacing w:after="0" w:line="240" w:lineRule="auto"/>
        <w:ind w:firstLine="284"/>
        <w:jc w:val="both"/>
        <w:rPr>
          <w:lang w:eastAsia="el-GR"/>
        </w:rPr>
      </w:pPr>
      <w:r w:rsidRPr="003951ED">
        <w:rPr>
          <w:lang w:eastAsia="el-GR"/>
        </w:rPr>
        <w:t>Το ποσοστό ανταπόκρισης (</w:t>
      </w:r>
      <w:proofErr w:type="spellStart"/>
      <w:r w:rsidRPr="003951ED">
        <w:rPr>
          <w:lang w:eastAsia="el-GR"/>
        </w:rPr>
        <w:t>response</w:t>
      </w:r>
      <w:proofErr w:type="spellEnd"/>
      <w:r w:rsidRPr="003951ED">
        <w:rPr>
          <w:lang w:eastAsia="el-GR"/>
        </w:rPr>
        <w:t xml:space="preserve"> </w:t>
      </w:r>
      <w:proofErr w:type="spellStart"/>
      <w:r w:rsidRPr="003951ED">
        <w:rPr>
          <w:lang w:eastAsia="el-GR"/>
        </w:rPr>
        <w:t>rate</w:t>
      </w:r>
      <w:proofErr w:type="spellEnd"/>
      <w:r w:rsidRPr="003951ED">
        <w:rPr>
          <w:lang w:eastAsia="el-GR"/>
        </w:rPr>
        <w:t>) ανήλθε στο 42,5%, γεγονός που κρίνεται ικανοποιητικό για έρευνες αυτού του τύπου</w:t>
      </w:r>
      <w:r w:rsidR="003D1449" w:rsidRPr="003D1449">
        <w:t xml:space="preserve"> </w:t>
      </w:r>
      <w:r w:rsidR="003D1449" w:rsidRPr="003D1449">
        <w:rPr>
          <w:lang w:eastAsia="el-GR"/>
        </w:rPr>
        <w:t>(</w:t>
      </w:r>
      <w:proofErr w:type="spellStart"/>
      <w:r w:rsidR="003D1449" w:rsidRPr="003D1449">
        <w:rPr>
          <w:lang w:eastAsia="el-GR"/>
        </w:rPr>
        <w:t>Baruch</w:t>
      </w:r>
      <w:proofErr w:type="spellEnd"/>
      <w:r w:rsidR="003D1449" w:rsidRPr="003D1449">
        <w:rPr>
          <w:lang w:eastAsia="el-GR"/>
        </w:rPr>
        <w:t xml:space="preserve"> &amp; </w:t>
      </w:r>
      <w:proofErr w:type="spellStart"/>
      <w:r w:rsidR="003D1449" w:rsidRPr="003D1449">
        <w:rPr>
          <w:lang w:eastAsia="el-GR"/>
        </w:rPr>
        <w:t>Holtom</w:t>
      </w:r>
      <w:proofErr w:type="spellEnd"/>
      <w:r w:rsidR="003D1449" w:rsidRPr="003D1449">
        <w:rPr>
          <w:lang w:eastAsia="el-GR"/>
        </w:rPr>
        <w:t>, 2008)</w:t>
      </w:r>
      <w:r w:rsidRPr="003951ED">
        <w:rPr>
          <w:lang w:eastAsia="el-GR"/>
        </w:rPr>
        <w:t>. Το πλαίσιο της έρευνας περιλάμβανε την υλοποίηση διαθεματικών</w:t>
      </w:r>
      <w:r w:rsidR="00197DCE">
        <w:rPr>
          <w:lang w:eastAsia="el-GR"/>
        </w:rPr>
        <w:t xml:space="preserve"> </w:t>
      </w:r>
      <w:r w:rsidR="00197DCE" w:rsidRPr="00197DCE">
        <w:rPr>
          <w:color w:val="FF0000"/>
          <w:lang w:eastAsia="el-GR"/>
        </w:rPr>
        <w:t>εκπαιδευτικών παρεμβάσεων</w:t>
      </w:r>
      <w:r w:rsidRPr="00197DCE">
        <w:rPr>
          <w:color w:val="FF0000"/>
          <w:lang w:eastAsia="el-GR"/>
        </w:rPr>
        <w:t xml:space="preserve"> </w:t>
      </w:r>
      <w:r w:rsidRPr="003951ED">
        <w:rPr>
          <w:lang w:eastAsia="el-GR"/>
        </w:rPr>
        <w:t>που αφορούσαν την τέχνη, τον πολιτισμό, τον αθλητισμό και τα μαθηματικά.</w:t>
      </w:r>
    </w:p>
    <w:p w14:paraId="6A82A21B" w14:textId="77777777" w:rsidR="00DB3E5E" w:rsidRPr="00DB3E5E" w:rsidRDefault="00DB3E5E" w:rsidP="00214725">
      <w:pPr>
        <w:spacing w:before="240" w:after="0" w:line="240" w:lineRule="auto"/>
        <w:ind w:firstLine="284"/>
        <w:jc w:val="both"/>
        <w:rPr>
          <w:bCs/>
          <w:i/>
          <w:lang w:eastAsia="el-GR"/>
        </w:rPr>
      </w:pPr>
      <w:r w:rsidRPr="00DB3E5E">
        <w:rPr>
          <w:bCs/>
          <w:i/>
          <w:lang w:eastAsia="el-GR"/>
        </w:rPr>
        <w:t>Δημογραφικά χαρακτηριστικά δείγματος</w:t>
      </w:r>
    </w:p>
    <w:p w14:paraId="3091E424" w14:textId="5AC17333" w:rsidR="00DB3E5E" w:rsidRDefault="00DB3E5E" w:rsidP="00DB3E5E">
      <w:pPr>
        <w:spacing w:after="0" w:line="240" w:lineRule="auto"/>
        <w:ind w:firstLine="284"/>
        <w:jc w:val="both"/>
        <w:rPr>
          <w:lang w:eastAsia="el-GR"/>
        </w:rPr>
      </w:pPr>
      <w:r w:rsidRPr="00DB3E5E">
        <w:rPr>
          <w:lang w:eastAsia="el-GR"/>
        </w:rPr>
        <w:t xml:space="preserve">Τα δημογραφικά χαρακτηριστικά των </w:t>
      </w:r>
      <w:r w:rsidRPr="001E3383">
        <w:rPr>
          <w:color w:val="FF0000"/>
          <w:lang w:eastAsia="el-GR"/>
        </w:rPr>
        <w:t>συμμετεχόντων</w:t>
      </w:r>
      <w:r w:rsidRPr="00DB3E5E">
        <w:rPr>
          <w:lang w:eastAsia="el-GR"/>
        </w:rPr>
        <w:t xml:space="preserve"> παρουσιάζονται στον Πίνακα 1. Η ανάλυση των στοιχείων συμβάλλει στην καλύτερη κατανόηση της σύνθεσης του δείγματος και στην ερμηνεία των ευρημάτων της έρευνας.</w:t>
      </w:r>
    </w:p>
    <w:p w14:paraId="67E9F5FE" w14:textId="429361A6" w:rsidR="00DB3E5E" w:rsidRPr="00DB3E5E" w:rsidRDefault="00DB3E5E" w:rsidP="00DB3E5E">
      <w:pPr>
        <w:spacing w:before="240" w:after="0" w:line="240" w:lineRule="auto"/>
        <w:ind w:firstLine="284"/>
        <w:jc w:val="center"/>
        <w:rPr>
          <w:b/>
          <w:lang w:eastAsia="el-GR"/>
        </w:rPr>
      </w:pPr>
      <w:r w:rsidRPr="00DB3E5E">
        <w:rPr>
          <w:b/>
          <w:lang w:eastAsia="el-GR"/>
        </w:rPr>
        <w:t>Πίνακας 1. Δημογραφικά χαρακτηριστικά συμμετεχόντων</w:t>
      </w:r>
      <w:r w:rsidR="009B1B7A">
        <w:rPr>
          <w:b/>
          <w:lang w:eastAsia="el-GR"/>
        </w:rPr>
        <w:t>/</w:t>
      </w:r>
      <w:proofErr w:type="spellStart"/>
      <w:r w:rsidR="009B1B7A">
        <w:rPr>
          <w:b/>
          <w:lang w:eastAsia="el-GR"/>
        </w:rPr>
        <w:t>χουσών</w:t>
      </w:r>
      <w:proofErr w:type="spellEnd"/>
      <w:r w:rsidRPr="00DB3E5E">
        <w:rPr>
          <w:b/>
          <w:lang w:eastAsia="el-GR"/>
        </w:rPr>
        <w:t xml:space="preserve"> (Ν=17)</w:t>
      </w:r>
    </w:p>
    <w:tbl>
      <w:tblPr>
        <w:tblStyle w:val="20"/>
        <w:tblW w:w="0" w:type="auto"/>
        <w:jc w:val="center"/>
        <w:tblLook w:val="04A0" w:firstRow="1" w:lastRow="0" w:firstColumn="1" w:lastColumn="0" w:noHBand="0" w:noVBand="1"/>
      </w:tblPr>
      <w:tblGrid>
        <w:gridCol w:w="2365"/>
        <w:gridCol w:w="1820"/>
        <w:gridCol w:w="1468"/>
        <w:gridCol w:w="1320"/>
      </w:tblGrid>
      <w:tr w:rsidR="00DB3E5E" w:rsidRPr="00DB3E5E" w14:paraId="537D2AAD" w14:textId="77777777" w:rsidTr="00DB3E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hideMark/>
          </w:tcPr>
          <w:p w14:paraId="158F04F7" w14:textId="77777777" w:rsidR="00DB3E5E" w:rsidRPr="00DB3E5E" w:rsidRDefault="00DB3E5E" w:rsidP="00DB3E5E">
            <w:pPr>
              <w:ind w:firstLine="284"/>
              <w:jc w:val="center"/>
              <w:rPr>
                <w:lang w:eastAsia="el-GR"/>
              </w:rPr>
            </w:pPr>
            <w:r w:rsidRPr="00DB3E5E">
              <w:rPr>
                <w:lang w:eastAsia="el-GR"/>
              </w:rPr>
              <w:t>Μεταβλητή</w:t>
            </w:r>
          </w:p>
        </w:tc>
        <w:tc>
          <w:tcPr>
            <w:tcW w:w="0" w:type="auto"/>
            <w:tcBorders>
              <w:top w:val="single" w:sz="8" w:space="0" w:color="auto"/>
              <w:bottom w:val="single" w:sz="8" w:space="0" w:color="auto"/>
            </w:tcBorders>
            <w:hideMark/>
          </w:tcPr>
          <w:p w14:paraId="2ABE3C97" w14:textId="77777777" w:rsidR="00DB3E5E" w:rsidRPr="00DB3E5E" w:rsidRDefault="00DB3E5E" w:rsidP="00DB3E5E">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DB3E5E">
              <w:rPr>
                <w:lang w:eastAsia="el-GR"/>
              </w:rPr>
              <w:t>Κατηγορία</w:t>
            </w:r>
          </w:p>
        </w:tc>
        <w:tc>
          <w:tcPr>
            <w:tcW w:w="0" w:type="auto"/>
            <w:tcBorders>
              <w:top w:val="single" w:sz="8" w:space="0" w:color="auto"/>
              <w:bottom w:val="single" w:sz="8" w:space="0" w:color="auto"/>
            </w:tcBorders>
            <w:hideMark/>
          </w:tcPr>
          <w:p w14:paraId="5F2743EC" w14:textId="77777777" w:rsidR="00DB3E5E" w:rsidRPr="00DB3E5E" w:rsidRDefault="00DB3E5E" w:rsidP="00DB3E5E">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DB3E5E">
              <w:rPr>
                <w:lang w:eastAsia="el-GR"/>
              </w:rPr>
              <w:t>Συχνότητα</w:t>
            </w:r>
          </w:p>
        </w:tc>
        <w:tc>
          <w:tcPr>
            <w:tcW w:w="0" w:type="auto"/>
            <w:tcBorders>
              <w:top w:val="single" w:sz="8" w:space="0" w:color="auto"/>
              <w:bottom w:val="single" w:sz="8" w:space="0" w:color="auto"/>
            </w:tcBorders>
            <w:hideMark/>
          </w:tcPr>
          <w:p w14:paraId="00659120" w14:textId="77777777" w:rsidR="00DB3E5E" w:rsidRPr="00DB3E5E" w:rsidRDefault="00DB3E5E" w:rsidP="00DB3E5E">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DB3E5E">
              <w:rPr>
                <w:lang w:eastAsia="el-GR"/>
              </w:rPr>
              <w:t>Ποσοστό</w:t>
            </w:r>
          </w:p>
        </w:tc>
      </w:tr>
      <w:tr w:rsidR="00DB3E5E" w:rsidRPr="00DB3E5E" w14:paraId="41F210C9" w14:textId="77777777" w:rsidTr="00DB3E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none" w:sz="0" w:space="0" w:color="auto"/>
            </w:tcBorders>
            <w:hideMark/>
          </w:tcPr>
          <w:p w14:paraId="03DB1594" w14:textId="77777777" w:rsidR="00DB3E5E" w:rsidRPr="00DB3E5E" w:rsidRDefault="00DB3E5E" w:rsidP="00DB3E5E">
            <w:pPr>
              <w:ind w:firstLine="284"/>
              <w:jc w:val="center"/>
              <w:rPr>
                <w:lang w:eastAsia="el-GR"/>
              </w:rPr>
            </w:pPr>
            <w:r w:rsidRPr="00DB3E5E">
              <w:rPr>
                <w:lang w:eastAsia="el-GR"/>
              </w:rPr>
              <w:t>Φύλο</w:t>
            </w:r>
          </w:p>
        </w:tc>
        <w:tc>
          <w:tcPr>
            <w:tcW w:w="0" w:type="auto"/>
            <w:tcBorders>
              <w:top w:val="single" w:sz="8" w:space="0" w:color="auto"/>
              <w:bottom w:val="none" w:sz="0" w:space="0" w:color="auto"/>
            </w:tcBorders>
            <w:hideMark/>
          </w:tcPr>
          <w:p w14:paraId="06D791C1"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Άνδρες</w:t>
            </w:r>
          </w:p>
        </w:tc>
        <w:tc>
          <w:tcPr>
            <w:tcW w:w="0" w:type="auto"/>
            <w:tcBorders>
              <w:top w:val="single" w:sz="8" w:space="0" w:color="auto"/>
              <w:bottom w:val="none" w:sz="0" w:space="0" w:color="auto"/>
            </w:tcBorders>
            <w:hideMark/>
          </w:tcPr>
          <w:p w14:paraId="16FF5B6D"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4</w:t>
            </w:r>
          </w:p>
        </w:tc>
        <w:tc>
          <w:tcPr>
            <w:tcW w:w="0" w:type="auto"/>
            <w:tcBorders>
              <w:top w:val="single" w:sz="8" w:space="0" w:color="auto"/>
              <w:bottom w:val="none" w:sz="0" w:space="0" w:color="auto"/>
            </w:tcBorders>
            <w:hideMark/>
          </w:tcPr>
          <w:p w14:paraId="5D6334EB"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23,5%</w:t>
            </w:r>
          </w:p>
        </w:tc>
      </w:tr>
      <w:tr w:rsidR="00DB3E5E" w:rsidRPr="00DB3E5E" w14:paraId="7C6A3774" w14:textId="77777777" w:rsidTr="00DB3E5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7ABAB2" w14:textId="77777777" w:rsidR="00DB3E5E" w:rsidRPr="00DB3E5E" w:rsidRDefault="00DB3E5E" w:rsidP="00DB3E5E">
            <w:pPr>
              <w:ind w:firstLine="284"/>
              <w:jc w:val="center"/>
              <w:rPr>
                <w:lang w:eastAsia="el-GR"/>
              </w:rPr>
            </w:pPr>
          </w:p>
        </w:tc>
        <w:tc>
          <w:tcPr>
            <w:tcW w:w="0" w:type="auto"/>
            <w:hideMark/>
          </w:tcPr>
          <w:p w14:paraId="45592A09"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Γυναίκες</w:t>
            </w:r>
          </w:p>
        </w:tc>
        <w:tc>
          <w:tcPr>
            <w:tcW w:w="0" w:type="auto"/>
            <w:hideMark/>
          </w:tcPr>
          <w:p w14:paraId="08AE805A"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13</w:t>
            </w:r>
          </w:p>
        </w:tc>
        <w:tc>
          <w:tcPr>
            <w:tcW w:w="0" w:type="auto"/>
            <w:hideMark/>
          </w:tcPr>
          <w:p w14:paraId="297EB172"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76,5%</w:t>
            </w:r>
          </w:p>
        </w:tc>
      </w:tr>
      <w:tr w:rsidR="00DB3E5E" w:rsidRPr="00DB3E5E" w14:paraId="722B5F92" w14:textId="77777777" w:rsidTr="00DB3E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1DE6391" w14:textId="77777777" w:rsidR="00DB3E5E" w:rsidRPr="00DB3E5E" w:rsidRDefault="00DB3E5E" w:rsidP="00DB3E5E">
            <w:pPr>
              <w:ind w:firstLine="284"/>
              <w:jc w:val="center"/>
              <w:rPr>
                <w:lang w:eastAsia="el-GR"/>
              </w:rPr>
            </w:pPr>
            <w:r w:rsidRPr="00DB3E5E">
              <w:rPr>
                <w:lang w:eastAsia="el-GR"/>
              </w:rPr>
              <w:t>Επίπεδο σπουδών</w:t>
            </w:r>
          </w:p>
        </w:tc>
        <w:tc>
          <w:tcPr>
            <w:tcW w:w="0" w:type="auto"/>
            <w:tcBorders>
              <w:top w:val="none" w:sz="0" w:space="0" w:color="auto"/>
              <w:bottom w:val="none" w:sz="0" w:space="0" w:color="auto"/>
            </w:tcBorders>
            <w:hideMark/>
          </w:tcPr>
          <w:p w14:paraId="1B9E600F"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Πτυχίο ΑΕΙ</w:t>
            </w:r>
          </w:p>
        </w:tc>
        <w:tc>
          <w:tcPr>
            <w:tcW w:w="0" w:type="auto"/>
            <w:tcBorders>
              <w:top w:val="none" w:sz="0" w:space="0" w:color="auto"/>
              <w:bottom w:val="none" w:sz="0" w:space="0" w:color="auto"/>
            </w:tcBorders>
            <w:hideMark/>
          </w:tcPr>
          <w:p w14:paraId="25D7E3A3"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11</w:t>
            </w:r>
          </w:p>
        </w:tc>
        <w:tc>
          <w:tcPr>
            <w:tcW w:w="0" w:type="auto"/>
            <w:tcBorders>
              <w:top w:val="none" w:sz="0" w:space="0" w:color="auto"/>
              <w:bottom w:val="none" w:sz="0" w:space="0" w:color="auto"/>
            </w:tcBorders>
            <w:hideMark/>
          </w:tcPr>
          <w:p w14:paraId="6644A2EE"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64,7%</w:t>
            </w:r>
          </w:p>
        </w:tc>
      </w:tr>
      <w:tr w:rsidR="00DB3E5E" w:rsidRPr="00DB3E5E" w14:paraId="602F8FE7" w14:textId="77777777" w:rsidTr="00DB3E5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FE5F73" w14:textId="77777777" w:rsidR="00DB3E5E" w:rsidRPr="00DB3E5E" w:rsidRDefault="00DB3E5E" w:rsidP="00DB3E5E">
            <w:pPr>
              <w:ind w:firstLine="284"/>
              <w:jc w:val="center"/>
              <w:rPr>
                <w:lang w:eastAsia="el-GR"/>
              </w:rPr>
            </w:pPr>
          </w:p>
        </w:tc>
        <w:tc>
          <w:tcPr>
            <w:tcW w:w="0" w:type="auto"/>
            <w:hideMark/>
          </w:tcPr>
          <w:p w14:paraId="2DA0788C"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Μεταπτυχιακό</w:t>
            </w:r>
          </w:p>
        </w:tc>
        <w:tc>
          <w:tcPr>
            <w:tcW w:w="0" w:type="auto"/>
            <w:hideMark/>
          </w:tcPr>
          <w:p w14:paraId="003D6E6D"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6</w:t>
            </w:r>
          </w:p>
        </w:tc>
        <w:tc>
          <w:tcPr>
            <w:tcW w:w="0" w:type="auto"/>
            <w:hideMark/>
          </w:tcPr>
          <w:p w14:paraId="4FC1FDB9"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35,3%</w:t>
            </w:r>
          </w:p>
        </w:tc>
      </w:tr>
      <w:tr w:rsidR="00DB3E5E" w:rsidRPr="00DB3E5E" w14:paraId="0F0F652C" w14:textId="77777777" w:rsidTr="00DB3E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BB07626" w14:textId="77777777" w:rsidR="00DB3E5E" w:rsidRPr="00DB3E5E" w:rsidRDefault="00DB3E5E" w:rsidP="00DB3E5E">
            <w:pPr>
              <w:ind w:firstLine="284"/>
              <w:jc w:val="center"/>
              <w:rPr>
                <w:lang w:eastAsia="el-GR"/>
              </w:rPr>
            </w:pPr>
            <w:r w:rsidRPr="00DB3E5E">
              <w:rPr>
                <w:lang w:eastAsia="el-GR"/>
              </w:rPr>
              <w:t>Διδακτική υπηρεσία</w:t>
            </w:r>
          </w:p>
        </w:tc>
        <w:tc>
          <w:tcPr>
            <w:tcW w:w="0" w:type="auto"/>
            <w:tcBorders>
              <w:top w:val="none" w:sz="0" w:space="0" w:color="auto"/>
              <w:bottom w:val="none" w:sz="0" w:space="0" w:color="auto"/>
            </w:tcBorders>
            <w:hideMark/>
          </w:tcPr>
          <w:p w14:paraId="5BB1527D"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0–10 έτη</w:t>
            </w:r>
          </w:p>
        </w:tc>
        <w:tc>
          <w:tcPr>
            <w:tcW w:w="0" w:type="auto"/>
            <w:tcBorders>
              <w:top w:val="none" w:sz="0" w:space="0" w:color="auto"/>
              <w:bottom w:val="none" w:sz="0" w:space="0" w:color="auto"/>
            </w:tcBorders>
            <w:hideMark/>
          </w:tcPr>
          <w:p w14:paraId="3CB67893"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2</w:t>
            </w:r>
          </w:p>
        </w:tc>
        <w:tc>
          <w:tcPr>
            <w:tcW w:w="0" w:type="auto"/>
            <w:tcBorders>
              <w:top w:val="none" w:sz="0" w:space="0" w:color="auto"/>
              <w:bottom w:val="none" w:sz="0" w:space="0" w:color="auto"/>
            </w:tcBorders>
            <w:hideMark/>
          </w:tcPr>
          <w:p w14:paraId="3F3C8036"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11,8%</w:t>
            </w:r>
          </w:p>
        </w:tc>
      </w:tr>
      <w:tr w:rsidR="00DB3E5E" w:rsidRPr="00DB3E5E" w14:paraId="16FD0DAB" w14:textId="77777777" w:rsidTr="00DB3E5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A8FC62" w14:textId="77777777" w:rsidR="00DB3E5E" w:rsidRPr="00DB3E5E" w:rsidRDefault="00DB3E5E" w:rsidP="00DB3E5E">
            <w:pPr>
              <w:ind w:firstLine="284"/>
              <w:jc w:val="center"/>
              <w:rPr>
                <w:lang w:eastAsia="el-GR"/>
              </w:rPr>
            </w:pPr>
          </w:p>
        </w:tc>
        <w:tc>
          <w:tcPr>
            <w:tcW w:w="0" w:type="auto"/>
            <w:hideMark/>
          </w:tcPr>
          <w:p w14:paraId="59E72CAB"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11–20 έτη</w:t>
            </w:r>
          </w:p>
        </w:tc>
        <w:tc>
          <w:tcPr>
            <w:tcW w:w="0" w:type="auto"/>
            <w:hideMark/>
          </w:tcPr>
          <w:p w14:paraId="14A979A2"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3</w:t>
            </w:r>
          </w:p>
        </w:tc>
        <w:tc>
          <w:tcPr>
            <w:tcW w:w="0" w:type="auto"/>
            <w:hideMark/>
          </w:tcPr>
          <w:p w14:paraId="44AC09B4"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17,6%</w:t>
            </w:r>
          </w:p>
        </w:tc>
      </w:tr>
      <w:tr w:rsidR="00DB3E5E" w:rsidRPr="00DB3E5E" w14:paraId="163DDDF8" w14:textId="77777777" w:rsidTr="00DB3E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5021358" w14:textId="77777777" w:rsidR="00DB3E5E" w:rsidRPr="00DB3E5E" w:rsidRDefault="00DB3E5E" w:rsidP="00DB3E5E">
            <w:pPr>
              <w:ind w:firstLine="284"/>
              <w:jc w:val="center"/>
              <w:rPr>
                <w:lang w:eastAsia="el-GR"/>
              </w:rPr>
            </w:pPr>
          </w:p>
        </w:tc>
        <w:tc>
          <w:tcPr>
            <w:tcW w:w="0" w:type="auto"/>
            <w:tcBorders>
              <w:top w:val="none" w:sz="0" w:space="0" w:color="auto"/>
              <w:bottom w:val="none" w:sz="0" w:space="0" w:color="auto"/>
            </w:tcBorders>
            <w:hideMark/>
          </w:tcPr>
          <w:p w14:paraId="3BACCF9D"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21–30 έτη</w:t>
            </w:r>
          </w:p>
        </w:tc>
        <w:tc>
          <w:tcPr>
            <w:tcW w:w="0" w:type="auto"/>
            <w:tcBorders>
              <w:top w:val="none" w:sz="0" w:space="0" w:color="auto"/>
              <w:bottom w:val="none" w:sz="0" w:space="0" w:color="auto"/>
            </w:tcBorders>
            <w:hideMark/>
          </w:tcPr>
          <w:p w14:paraId="6FA5A029"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7</w:t>
            </w:r>
          </w:p>
        </w:tc>
        <w:tc>
          <w:tcPr>
            <w:tcW w:w="0" w:type="auto"/>
            <w:tcBorders>
              <w:top w:val="none" w:sz="0" w:space="0" w:color="auto"/>
              <w:bottom w:val="none" w:sz="0" w:space="0" w:color="auto"/>
            </w:tcBorders>
            <w:hideMark/>
          </w:tcPr>
          <w:p w14:paraId="3FFE34D6"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41,2%</w:t>
            </w:r>
          </w:p>
        </w:tc>
      </w:tr>
      <w:tr w:rsidR="00DB3E5E" w:rsidRPr="00DB3E5E" w14:paraId="11FEBBFC" w14:textId="77777777" w:rsidTr="00DB3E5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793FF8" w14:textId="77777777" w:rsidR="00DB3E5E" w:rsidRPr="00DB3E5E" w:rsidRDefault="00DB3E5E" w:rsidP="00DB3E5E">
            <w:pPr>
              <w:ind w:firstLine="284"/>
              <w:jc w:val="center"/>
              <w:rPr>
                <w:lang w:eastAsia="el-GR"/>
              </w:rPr>
            </w:pPr>
          </w:p>
        </w:tc>
        <w:tc>
          <w:tcPr>
            <w:tcW w:w="0" w:type="auto"/>
            <w:hideMark/>
          </w:tcPr>
          <w:p w14:paraId="6C97F4DE"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31–40 έτη</w:t>
            </w:r>
          </w:p>
        </w:tc>
        <w:tc>
          <w:tcPr>
            <w:tcW w:w="0" w:type="auto"/>
            <w:hideMark/>
          </w:tcPr>
          <w:p w14:paraId="1C99D872"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2</w:t>
            </w:r>
          </w:p>
        </w:tc>
        <w:tc>
          <w:tcPr>
            <w:tcW w:w="0" w:type="auto"/>
            <w:hideMark/>
          </w:tcPr>
          <w:p w14:paraId="55114130" w14:textId="77777777" w:rsidR="00DB3E5E" w:rsidRPr="00DB3E5E" w:rsidRDefault="00DB3E5E" w:rsidP="00DB3E5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DB3E5E">
              <w:rPr>
                <w:lang w:eastAsia="el-GR"/>
              </w:rPr>
              <w:t>11,8%</w:t>
            </w:r>
          </w:p>
        </w:tc>
      </w:tr>
      <w:tr w:rsidR="00DB3E5E" w:rsidRPr="00DB3E5E" w14:paraId="52029F21" w14:textId="77777777" w:rsidTr="00DB3E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8" w:space="0" w:color="auto"/>
            </w:tcBorders>
            <w:hideMark/>
          </w:tcPr>
          <w:p w14:paraId="747E7B73" w14:textId="77777777" w:rsidR="00DB3E5E" w:rsidRPr="00DB3E5E" w:rsidRDefault="00DB3E5E" w:rsidP="00DB3E5E">
            <w:pPr>
              <w:ind w:firstLine="284"/>
              <w:jc w:val="center"/>
              <w:rPr>
                <w:lang w:eastAsia="el-GR"/>
              </w:rPr>
            </w:pPr>
          </w:p>
        </w:tc>
        <w:tc>
          <w:tcPr>
            <w:tcW w:w="0" w:type="auto"/>
            <w:tcBorders>
              <w:top w:val="none" w:sz="0" w:space="0" w:color="auto"/>
              <w:bottom w:val="single" w:sz="8" w:space="0" w:color="auto"/>
            </w:tcBorders>
            <w:hideMark/>
          </w:tcPr>
          <w:p w14:paraId="3352E0DE"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41+ έτη</w:t>
            </w:r>
          </w:p>
        </w:tc>
        <w:tc>
          <w:tcPr>
            <w:tcW w:w="0" w:type="auto"/>
            <w:tcBorders>
              <w:top w:val="none" w:sz="0" w:space="0" w:color="auto"/>
              <w:bottom w:val="single" w:sz="8" w:space="0" w:color="auto"/>
            </w:tcBorders>
            <w:hideMark/>
          </w:tcPr>
          <w:p w14:paraId="0D896251"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3</w:t>
            </w:r>
          </w:p>
        </w:tc>
        <w:tc>
          <w:tcPr>
            <w:tcW w:w="0" w:type="auto"/>
            <w:tcBorders>
              <w:top w:val="none" w:sz="0" w:space="0" w:color="auto"/>
              <w:bottom w:val="single" w:sz="8" w:space="0" w:color="auto"/>
            </w:tcBorders>
            <w:hideMark/>
          </w:tcPr>
          <w:p w14:paraId="6A8D83B5" w14:textId="77777777" w:rsidR="00DB3E5E" w:rsidRPr="00DB3E5E" w:rsidRDefault="00DB3E5E" w:rsidP="00DB3E5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DB3E5E">
              <w:rPr>
                <w:lang w:eastAsia="el-GR"/>
              </w:rPr>
              <w:t>17,6%</w:t>
            </w:r>
          </w:p>
        </w:tc>
      </w:tr>
    </w:tbl>
    <w:p w14:paraId="499F8FCD" w14:textId="27BC5AD5" w:rsidR="00DB3E5E" w:rsidRPr="00DB3E5E" w:rsidRDefault="00DB3E5E" w:rsidP="00DB3E5E">
      <w:pPr>
        <w:spacing w:before="240" w:after="0" w:line="240" w:lineRule="auto"/>
        <w:ind w:firstLine="284"/>
        <w:jc w:val="both"/>
        <w:rPr>
          <w:lang w:eastAsia="el-GR"/>
        </w:rPr>
      </w:pPr>
      <w:r w:rsidRPr="00DB3E5E">
        <w:rPr>
          <w:lang w:eastAsia="el-GR"/>
        </w:rPr>
        <w:lastRenderedPageBreak/>
        <w:t xml:space="preserve">Το δείγμα αποτελείται κυρίως από γυναίκες εκπαιδευτικούς (76,5%), γεγονός που αντανακλά τη γενικότερη σύνθεση του εκπαιδευτικού προσωπικού στην πρωτοβάθμια εκπαίδευση. Ως προς το επίπεδο σπουδών, η πλειονότητα των </w:t>
      </w:r>
      <w:r w:rsidRPr="00DF457A">
        <w:rPr>
          <w:color w:val="FF0000"/>
          <w:lang w:eastAsia="el-GR"/>
        </w:rPr>
        <w:t>συμμετεχόντων</w:t>
      </w:r>
      <w:r w:rsidRPr="00DB3E5E">
        <w:rPr>
          <w:lang w:eastAsia="el-GR"/>
        </w:rPr>
        <w:t xml:space="preserve"> διαθέτει βασικό τίτλο σπουδών (64,7%), ενώ σημαντικό ποσοστό (35,3%) κατέχει μεταπτυχιακό τίτλο, στοιχείο που υποδηλώνει αυξημένο επίπεδο ακαδημαϊκής κατάρτισης.</w:t>
      </w:r>
    </w:p>
    <w:p w14:paraId="095C8B03" w14:textId="77777777" w:rsidR="00DB3E5E" w:rsidRPr="00DB3E5E" w:rsidRDefault="00DB3E5E" w:rsidP="00DB3E5E">
      <w:pPr>
        <w:spacing w:after="0" w:line="240" w:lineRule="auto"/>
        <w:ind w:firstLine="284"/>
        <w:jc w:val="both"/>
        <w:rPr>
          <w:lang w:eastAsia="el-GR"/>
        </w:rPr>
      </w:pPr>
      <w:r w:rsidRPr="00DB3E5E">
        <w:rPr>
          <w:lang w:eastAsia="el-GR"/>
        </w:rPr>
        <w:t>Αναφορικά με τη διδακτική εμπειρία, παρατηρείται ότι το μεγαλύτερο ποσοστό των εκπαιδευτικών (41,2%) διαθέτει 21–30 έτη υπηρεσίας, γεγονός που καταδεικνύει ότι το δείγμα αποτελείται κυρίως από έμπειρους εκπαιδευτικούς. Η παρουσία εκπαιδευτικών με διαφορετικά επίπεδα εμπειρίας συμβάλλει στη διαμόρφωση μιας πολυδιάστατης εικόνας των στάσεων και αντιλήψεων που καταγράφονται στην έρευνα.</w:t>
      </w:r>
    </w:p>
    <w:p w14:paraId="3E4D95E8" w14:textId="77777777" w:rsidR="00B55531" w:rsidRPr="003951ED" w:rsidRDefault="00B55531" w:rsidP="00214725">
      <w:pPr>
        <w:spacing w:before="240" w:after="0" w:line="240" w:lineRule="auto"/>
        <w:ind w:firstLine="284"/>
        <w:jc w:val="both"/>
        <w:rPr>
          <w:i/>
          <w:lang w:eastAsia="el-GR"/>
        </w:rPr>
      </w:pPr>
      <w:r w:rsidRPr="003951ED">
        <w:rPr>
          <w:i/>
          <w:lang w:eastAsia="el-GR"/>
        </w:rPr>
        <w:t>Ερευνητικά εργαλεία</w:t>
      </w:r>
    </w:p>
    <w:p w14:paraId="417CB861" w14:textId="77777777" w:rsidR="00B55531" w:rsidRPr="003951ED" w:rsidRDefault="00B55531" w:rsidP="001C71B7">
      <w:pPr>
        <w:spacing w:after="0" w:line="240" w:lineRule="auto"/>
        <w:ind w:firstLine="284"/>
        <w:jc w:val="both"/>
        <w:rPr>
          <w:lang w:eastAsia="el-GR"/>
        </w:rPr>
      </w:pPr>
      <w:r w:rsidRPr="003951ED">
        <w:rPr>
          <w:lang w:eastAsia="el-GR"/>
        </w:rPr>
        <w:t>Για τη συλλογή των δεδομένων χρησιμοποιήθηκαν</w:t>
      </w:r>
      <w:r w:rsidR="00760496" w:rsidRPr="003951ED">
        <w:rPr>
          <w:lang w:eastAsia="el-GR"/>
        </w:rPr>
        <w:t xml:space="preserve"> τα ακόλουθα</w:t>
      </w:r>
      <w:r w:rsidRPr="003951ED">
        <w:rPr>
          <w:lang w:eastAsia="el-GR"/>
        </w:rPr>
        <w:t xml:space="preserve"> </w:t>
      </w:r>
      <w:r w:rsidR="00760496" w:rsidRPr="003951ED">
        <w:rPr>
          <w:lang w:eastAsia="el-GR"/>
        </w:rPr>
        <w:t>τρία</w:t>
      </w:r>
      <w:r w:rsidRPr="003951ED">
        <w:rPr>
          <w:lang w:eastAsia="el-GR"/>
        </w:rPr>
        <w:t xml:space="preserve"> εργαλεία</w:t>
      </w:r>
      <w:r w:rsidR="003C665E">
        <w:rPr>
          <w:lang w:eastAsia="el-GR"/>
        </w:rPr>
        <w:t xml:space="preserve"> (Πίνακας </w:t>
      </w:r>
      <w:r w:rsidR="00DB3E5E">
        <w:rPr>
          <w:lang w:eastAsia="el-GR"/>
        </w:rPr>
        <w:t>2</w:t>
      </w:r>
      <w:r w:rsidR="003C665E">
        <w:rPr>
          <w:lang w:eastAsia="el-GR"/>
        </w:rPr>
        <w:t>)</w:t>
      </w:r>
      <w:r w:rsidR="00760496" w:rsidRPr="003951ED">
        <w:rPr>
          <w:lang w:eastAsia="el-GR"/>
        </w:rPr>
        <w:t>.</w:t>
      </w:r>
    </w:p>
    <w:p w14:paraId="68BA2592" w14:textId="69801FC9" w:rsidR="00B55531" w:rsidRPr="003951ED" w:rsidRDefault="00B55531" w:rsidP="001C71B7">
      <w:pPr>
        <w:spacing w:after="0" w:line="240" w:lineRule="auto"/>
        <w:ind w:firstLine="284"/>
        <w:jc w:val="both"/>
        <w:rPr>
          <w:lang w:eastAsia="el-GR"/>
        </w:rPr>
      </w:pPr>
      <w:r w:rsidRPr="001C71B7">
        <w:rPr>
          <w:lang w:eastAsia="el-GR"/>
        </w:rPr>
        <w:t>Ερωτηματολόγιο εκπαιδευτικών</w:t>
      </w:r>
      <w:r w:rsidR="00FC59C5" w:rsidRPr="00FC59C5">
        <w:rPr>
          <w:color w:val="EE0000"/>
          <w:lang w:eastAsia="el-GR"/>
        </w:rPr>
        <w:t>:</w:t>
      </w:r>
      <w:r w:rsidR="001C71B7">
        <w:rPr>
          <w:lang w:eastAsia="el-GR"/>
        </w:rPr>
        <w:t xml:space="preserve"> ένα δ</w:t>
      </w:r>
      <w:r w:rsidRPr="003951ED">
        <w:rPr>
          <w:lang w:eastAsia="el-GR"/>
        </w:rPr>
        <w:t xml:space="preserve">ομημένο ερωτηματολόγιο με ερωτήσεις κλειστού και ανοικτού τύπου. Οι κλειστές ερωτήσεις βασίστηκαν σε κλίμακα </w:t>
      </w:r>
      <w:proofErr w:type="spellStart"/>
      <w:r w:rsidRPr="003951ED">
        <w:rPr>
          <w:lang w:eastAsia="el-GR"/>
        </w:rPr>
        <w:t>Likert</w:t>
      </w:r>
      <w:proofErr w:type="spellEnd"/>
      <w:r w:rsidRPr="003951ED">
        <w:rPr>
          <w:lang w:eastAsia="el-GR"/>
        </w:rPr>
        <w:t xml:space="preserve"> πέντε βαθμίδων, επιτρέποντας την ποσοτική αποτίμηση των στάσεων των εκπαιδευτικών</w:t>
      </w:r>
      <w:r w:rsidR="001A4A8A">
        <w:rPr>
          <w:lang w:eastAsia="el-GR"/>
        </w:rPr>
        <w:t xml:space="preserve"> (</w:t>
      </w:r>
      <w:proofErr w:type="spellStart"/>
      <w:r w:rsidR="00002672">
        <w:rPr>
          <w:lang w:eastAsia="el-GR"/>
        </w:rPr>
        <w:t>Cohen</w:t>
      </w:r>
      <w:proofErr w:type="spellEnd"/>
      <w:r w:rsidR="00002672" w:rsidRPr="007439EE">
        <w:rPr>
          <w:rFonts w:ascii="Calibri" w:hAnsi="Calibri"/>
        </w:rPr>
        <w:t xml:space="preserve"> </w:t>
      </w:r>
      <w:proofErr w:type="spellStart"/>
      <w:r w:rsidR="00002672" w:rsidRPr="00CF2E39">
        <w:rPr>
          <w:rFonts w:ascii="Calibri" w:hAnsi="Calibri"/>
        </w:rPr>
        <w:t>et</w:t>
      </w:r>
      <w:proofErr w:type="spellEnd"/>
      <w:r w:rsidR="00002672" w:rsidRPr="00CF2E39">
        <w:rPr>
          <w:rFonts w:ascii="Calibri" w:hAnsi="Calibri"/>
        </w:rPr>
        <w:t xml:space="preserve"> </w:t>
      </w:r>
      <w:proofErr w:type="spellStart"/>
      <w:r w:rsidR="00002672" w:rsidRPr="00CF2E39">
        <w:rPr>
          <w:rFonts w:ascii="Calibri" w:hAnsi="Calibri"/>
        </w:rPr>
        <w:t>al</w:t>
      </w:r>
      <w:proofErr w:type="spellEnd"/>
      <w:r w:rsidR="00002672" w:rsidRPr="00CF2E39">
        <w:rPr>
          <w:rFonts w:ascii="Calibri" w:hAnsi="Calibri"/>
        </w:rPr>
        <w:t xml:space="preserve">., </w:t>
      </w:r>
      <w:r w:rsidR="00002672" w:rsidRPr="001A4A8A">
        <w:rPr>
          <w:lang w:eastAsia="el-GR"/>
        </w:rPr>
        <w:t>2018</w:t>
      </w:r>
      <w:r w:rsidR="00002672">
        <w:rPr>
          <w:rFonts w:cstheme="minorHAnsi"/>
          <w:lang w:eastAsia="el-GR"/>
        </w:rPr>
        <w:t>∙</w:t>
      </w:r>
      <w:r w:rsidR="00002672">
        <w:rPr>
          <w:lang w:eastAsia="el-GR"/>
        </w:rPr>
        <w:t xml:space="preserve"> </w:t>
      </w:r>
      <w:proofErr w:type="spellStart"/>
      <w:r w:rsidR="001A4A8A">
        <w:rPr>
          <w:lang w:eastAsia="el-GR"/>
        </w:rPr>
        <w:t>Likert</w:t>
      </w:r>
      <w:proofErr w:type="spellEnd"/>
      <w:r w:rsidR="001A4A8A">
        <w:rPr>
          <w:lang w:eastAsia="el-GR"/>
        </w:rPr>
        <w:t>, 1932</w:t>
      </w:r>
      <w:r w:rsidR="001A4A8A" w:rsidRPr="001A4A8A">
        <w:rPr>
          <w:lang w:eastAsia="el-GR"/>
        </w:rPr>
        <w:t>)</w:t>
      </w:r>
      <w:r w:rsidRPr="003951ED">
        <w:rPr>
          <w:lang w:eastAsia="el-GR"/>
        </w:rPr>
        <w:t>.</w:t>
      </w:r>
    </w:p>
    <w:p w14:paraId="4840450E" w14:textId="6C0B4A6A" w:rsidR="00B55531" w:rsidRPr="003951ED" w:rsidRDefault="00B55531" w:rsidP="001C71B7">
      <w:pPr>
        <w:spacing w:after="0" w:line="240" w:lineRule="auto"/>
        <w:ind w:firstLine="284"/>
        <w:jc w:val="both"/>
        <w:rPr>
          <w:lang w:eastAsia="el-GR"/>
        </w:rPr>
      </w:pPr>
      <w:r w:rsidRPr="001C71B7">
        <w:rPr>
          <w:lang w:eastAsia="el-GR"/>
        </w:rPr>
        <w:t>Ημερολόγιο δράσης</w:t>
      </w:r>
      <w:r w:rsidR="001C71B7">
        <w:rPr>
          <w:lang w:eastAsia="el-GR"/>
        </w:rPr>
        <w:t xml:space="preserve">  για την κ</w:t>
      </w:r>
      <w:r w:rsidRPr="003951ED">
        <w:rPr>
          <w:lang w:eastAsia="el-GR"/>
        </w:rPr>
        <w:t xml:space="preserve">αταγραφή της πορείας υλοποίησης των δράσεων από </w:t>
      </w:r>
      <w:r w:rsidR="00760496" w:rsidRPr="003951ED">
        <w:rPr>
          <w:lang w:eastAsia="el-GR"/>
        </w:rPr>
        <w:t>τη συντονί</w:t>
      </w:r>
      <w:r w:rsidRPr="003951ED">
        <w:rPr>
          <w:lang w:eastAsia="el-GR"/>
        </w:rPr>
        <w:t>στρια, με στόχο την αποτύπωση εμπειριών, δυσκολιών και καλών πρακτικών</w:t>
      </w:r>
      <w:r w:rsidR="001A4A8A" w:rsidRPr="001A4A8A">
        <w:t xml:space="preserve"> </w:t>
      </w:r>
      <w:r w:rsidR="001A4A8A" w:rsidRPr="001A4A8A">
        <w:rPr>
          <w:lang w:eastAsia="el-GR"/>
        </w:rPr>
        <w:t>(</w:t>
      </w:r>
      <w:proofErr w:type="spellStart"/>
      <w:r w:rsidR="001A4A8A" w:rsidRPr="001A4A8A">
        <w:rPr>
          <w:lang w:eastAsia="el-GR"/>
        </w:rPr>
        <w:t>Altrichter</w:t>
      </w:r>
      <w:proofErr w:type="spellEnd"/>
      <w:r w:rsidR="007439EE" w:rsidRPr="007439EE">
        <w:rPr>
          <w:rFonts w:ascii="Calibri" w:hAnsi="Calibri"/>
        </w:rPr>
        <w:t xml:space="preserve"> </w:t>
      </w:r>
      <w:proofErr w:type="spellStart"/>
      <w:r w:rsidR="007439EE" w:rsidRPr="00CF2E39">
        <w:rPr>
          <w:rFonts w:ascii="Calibri" w:hAnsi="Calibri"/>
        </w:rPr>
        <w:t>et</w:t>
      </w:r>
      <w:proofErr w:type="spellEnd"/>
      <w:r w:rsidR="007439EE" w:rsidRPr="00CF2E39">
        <w:rPr>
          <w:rFonts w:ascii="Calibri" w:hAnsi="Calibri"/>
        </w:rPr>
        <w:t xml:space="preserve"> </w:t>
      </w:r>
      <w:proofErr w:type="spellStart"/>
      <w:r w:rsidR="007439EE" w:rsidRPr="00CF2E39">
        <w:rPr>
          <w:rFonts w:ascii="Calibri" w:hAnsi="Calibri"/>
        </w:rPr>
        <w:t>al</w:t>
      </w:r>
      <w:proofErr w:type="spellEnd"/>
      <w:r w:rsidR="007439EE" w:rsidRPr="00CF2E39">
        <w:rPr>
          <w:rFonts w:ascii="Calibri" w:hAnsi="Calibri"/>
        </w:rPr>
        <w:t xml:space="preserve">., </w:t>
      </w:r>
      <w:r w:rsidR="001A4A8A" w:rsidRPr="001A4A8A">
        <w:rPr>
          <w:lang w:eastAsia="el-GR"/>
        </w:rPr>
        <w:t>2008).</w:t>
      </w:r>
    </w:p>
    <w:p w14:paraId="64A5FCF4" w14:textId="66497C39" w:rsidR="00B55531" w:rsidRPr="003951ED" w:rsidRDefault="00B55531" w:rsidP="001C71B7">
      <w:pPr>
        <w:spacing w:after="0" w:line="240" w:lineRule="auto"/>
        <w:ind w:firstLine="284"/>
        <w:jc w:val="both"/>
        <w:rPr>
          <w:lang w:eastAsia="el-GR"/>
        </w:rPr>
      </w:pPr>
      <w:r w:rsidRPr="001C71B7">
        <w:rPr>
          <w:lang w:eastAsia="el-GR"/>
        </w:rPr>
        <w:t>Συστηματική παρατήρηση</w:t>
      </w:r>
      <w:r w:rsidR="001C71B7">
        <w:rPr>
          <w:lang w:eastAsia="el-GR"/>
        </w:rPr>
        <w:t>, ώστε να επιτευχθεί η π</w:t>
      </w:r>
      <w:r w:rsidRPr="003951ED">
        <w:rPr>
          <w:lang w:eastAsia="el-GR"/>
        </w:rPr>
        <w:t xml:space="preserve">οιοτική καταγραφή της συμμετοχής και της συμπεριφοράς των </w:t>
      </w:r>
      <w:r w:rsidRPr="00DF457A">
        <w:rPr>
          <w:color w:val="FF0000"/>
          <w:lang w:eastAsia="el-GR"/>
        </w:rPr>
        <w:t>μαθητών</w:t>
      </w:r>
      <w:r w:rsidRPr="003951ED">
        <w:rPr>
          <w:lang w:eastAsia="el-GR"/>
        </w:rPr>
        <w:t xml:space="preserve"> κατά τη διάρκεια των δράσεων</w:t>
      </w:r>
      <w:r w:rsidR="001A4A8A" w:rsidRPr="001A4A8A">
        <w:t xml:space="preserve"> </w:t>
      </w:r>
      <w:r w:rsidR="001A4A8A" w:rsidRPr="001A4A8A">
        <w:rPr>
          <w:lang w:eastAsia="el-GR"/>
        </w:rPr>
        <w:t>(</w:t>
      </w:r>
      <w:proofErr w:type="spellStart"/>
      <w:r w:rsidR="00002672" w:rsidRPr="001A4A8A">
        <w:rPr>
          <w:lang w:eastAsia="el-GR"/>
        </w:rPr>
        <w:t>Cohen</w:t>
      </w:r>
      <w:proofErr w:type="spellEnd"/>
      <w:r w:rsidR="00002672" w:rsidRPr="007439EE">
        <w:rPr>
          <w:rFonts w:ascii="Calibri" w:hAnsi="Calibri"/>
        </w:rPr>
        <w:t xml:space="preserve"> </w:t>
      </w:r>
      <w:proofErr w:type="spellStart"/>
      <w:r w:rsidR="00002672" w:rsidRPr="00CF2E39">
        <w:rPr>
          <w:rFonts w:ascii="Calibri" w:hAnsi="Calibri"/>
        </w:rPr>
        <w:t>et</w:t>
      </w:r>
      <w:proofErr w:type="spellEnd"/>
      <w:r w:rsidR="00002672" w:rsidRPr="00CF2E39">
        <w:rPr>
          <w:rFonts w:ascii="Calibri" w:hAnsi="Calibri"/>
        </w:rPr>
        <w:t xml:space="preserve"> </w:t>
      </w:r>
      <w:proofErr w:type="spellStart"/>
      <w:r w:rsidR="00002672" w:rsidRPr="00CF2E39">
        <w:rPr>
          <w:rFonts w:ascii="Calibri" w:hAnsi="Calibri"/>
        </w:rPr>
        <w:t>al</w:t>
      </w:r>
      <w:proofErr w:type="spellEnd"/>
      <w:r w:rsidR="00002672" w:rsidRPr="00CF2E39">
        <w:rPr>
          <w:rFonts w:ascii="Calibri" w:hAnsi="Calibri"/>
        </w:rPr>
        <w:t xml:space="preserve">., </w:t>
      </w:r>
      <w:r w:rsidR="00002672" w:rsidRPr="001A4A8A">
        <w:rPr>
          <w:lang w:eastAsia="el-GR"/>
        </w:rPr>
        <w:t>2018</w:t>
      </w:r>
      <w:r w:rsidR="00002672">
        <w:rPr>
          <w:rFonts w:cstheme="minorHAnsi"/>
          <w:lang w:eastAsia="el-GR"/>
        </w:rPr>
        <w:t>∙</w:t>
      </w:r>
      <w:r w:rsidR="00002672">
        <w:rPr>
          <w:lang w:eastAsia="el-GR"/>
        </w:rPr>
        <w:t xml:space="preserve"> </w:t>
      </w:r>
      <w:proofErr w:type="spellStart"/>
      <w:r w:rsidR="001A4A8A" w:rsidRPr="001A4A8A">
        <w:rPr>
          <w:lang w:eastAsia="el-GR"/>
        </w:rPr>
        <w:t>Merriam</w:t>
      </w:r>
      <w:proofErr w:type="spellEnd"/>
      <w:r w:rsidR="001A4A8A" w:rsidRPr="001A4A8A">
        <w:rPr>
          <w:lang w:eastAsia="el-GR"/>
        </w:rPr>
        <w:t xml:space="preserve"> &amp; </w:t>
      </w:r>
      <w:proofErr w:type="spellStart"/>
      <w:r w:rsidR="001A4A8A" w:rsidRPr="001A4A8A">
        <w:rPr>
          <w:lang w:eastAsia="el-GR"/>
        </w:rPr>
        <w:t>Tisdell</w:t>
      </w:r>
      <w:proofErr w:type="spellEnd"/>
      <w:r w:rsidR="001A4A8A" w:rsidRPr="001A4A8A">
        <w:rPr>
          <w:lang w:eastAsia="el-GR"/>
        </w:rPr>
        <w:t>, 2016)</w:t>
      </w:r>
      <w:r w:rsidRPr="003951ED">
        <w:rPr>
          <w:lang w:eastAsia="el-GR"/>
        </w:rPr>
        <w:t>.</w:t>
      </w:r>
    </w:p>
    <w:p w14:paraId="4EE618CC" w14:textId="77777777" w:rsidR="00B55531" w:rsidRPr="001C71B7" w:rsidRDefault="00B55531" w:rsidP="001C71B7">
      <w:pPr>
        <w:spacing w:before="240" w:after="0" w:line="240" w:lineRule="auto"/>
        <w:ind w:firstLine="284"/>
        <w:jc w:val="center"/>
        <w:rPr>
          <w:b/>
          <w:lang w:eastAsia="el-GR"/>
        </w:rPr>
      </w:pPr>
      <w:r w:rsidRPr="001C71B7">
        <w:rPr>
          <w:b/>
          <w:lang w:eastAsia="el-GR"/>
        </w:rPr>
        <w:t xml:space="preserve">Πίνακας </w:t>
      </w:r>
      <w:r w:rsidR="00DB3E5E">
        <w:rPr>
          <w:b/>
          <w:lang w:eastAsia="el-GR"/>
        </w:rPr>
        <w:t>2</w:t>
      </w:r>
      <w:r w:rsidRPr="001C71B7">
        <w:rPr>
          <w:b/>
          <w:lang w:eastAsia="el-GR"/>
        </w:rPr>
        <w:t>. Ερευνητικά εργαλεία και σκοπός χρήσης</w:t>
      </w:r>
    </w:p>
    <w:tbl>
      <w:tblPr>
        <w:tblStyle w:val="20"/>
        <w:tblW w:w="0" w:type="auto"/>
        <w:tblBorders>
          <w:top w:val="single" w:sz="8" w:space="0" w:color="auto"/>
          <w:bottom w:val="single" w:sz="8" w:space="0" w:color="auto"/>
        </w:tblBorders>
        <w:tblLook w:val="04A0" w:firstRow="1" w:lastRow="0" w:firstColumn="1" w:lastColumn="0" w:noHBand="0" w:noVBand="1"/>
      </w:tblPr>
      <w:tblGrid>
        <w:gridCol w:w="2237"/>
        <w:gridCol w:w="1991"/>
        <w:gridCol w:w="4078"/>
      </w:tblGrid>
      <w:tr w:rsidR="00B55531" w:rsidRPr="003951ED" w14:paraId="00E234FE" w14:textId="77777777" w:rsidTr="00DB3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6C52231F" w14:textId="77777777" w:rsidR="00B55531" w:rsidRPr="003951ED" w:rsidRDefault="00B55531" w:rsidP="007439EE">
            <w:pPr>
              <w:ind w:firstLine="284"/>
              <w:jc w:val="center"/>
              <w:rPr>
                <w:lang w:eastAsia="el-GR"/>
              </w:rPr>
            </w:pPr>
            <w:r w:rsidRPr="003951ED">
              <w:rPr>
                <w:lang w:eastAsia="el-GR"/>
              </w:rPr>
              <w:t>Εργαλείο</w:t>
            </w:r>
          </w:p>
        </w:tc>
        <w:tc>
          <w:tcPr>
            <w:tcW w:w="0" w:type="auto"/>
            <w:tcBorders>
              <w:bottom w:val="single" w:sz="4" w:space="0" w:color="auto"/>
            </w:tcBorders>
            <w:hideMark/>
          </w:tcPr>
          <w:p w14:paraId="261A5460" w14:textId="77777777" w:rsidR="00B55531" w:rsidRPr="003951ED" w:rsidRDefault="00B55531" w:rsidP="007439EE">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3951ED">
              <w:rPr>
                <w:lang w:eastAsia="el-GR"/>
              </w:rPr>
              <w:t>Τύπος δεδομένων</w:t>
            </w:r>
          </w:p>
        </w:tc>
        <w:tc>
          <w:tcPr>
            <w:tcW w:w="0" w:type="auto"/>
            <w:tcBorders>
              <w:bottom w:val="single" w:sz="8" w:space="0" w:color="auto"/>
            </w:tcBorders>
            <w:hideMark/>
          </w:tcPr>
          <w:p w14:paraId="5B23A0F1" w14:textId="77777777" w:rsidR="00B55531" w:rsidRPr="003951ED" w:rsidRDefault="00B55531" w:rsidP="007439EE">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3951ED">
              <w:rPr>
                <w:lang w:eastAsia="el-GR"/>
              </w:rPr>
              <w:t>Σκοπός</w:t>
            </w:r>
          </w:p>
        </w:tc>
      </w:tr>
      <w:tr w:rsidR="00B55531" w:rsidRPr="003951ED" w14:paraId="0AB81740" w14:textId="77777777" w:rsidTr="00DB3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011795EC" w14:textId="77777777" w:rsidR="00B55531" w:rsidRPr="003951ED" w:rsidRDefault="00B55531" w:rsidP="007439EE">
            <w:pPr>
              <w:ind w:firstLine="284"/>
              <w:jc w:val="center"/>
              <w:rPr>
                <w:lang w:eastAsia="el-GR"/>
              </w:rPr>
            </w:pPr>
            <w:r w:rsidRPr="003951ED">
              <w:rPr>
                <w:lang w:eastAsia="el-GR"/>
              </w:rPr>
              <w:t>Ερωτηματολόγιο</w:t>
            </w:r>
          </w:p>
        </w:tc>
        <w:tc>
          <w:tcPr>
            <w:tcW w:w="0" w:type="auto"/>
            <w:tcBorders>
              <w:top w:val="single" w:sz="4" w:space="0" w:color="auto"/>
              <w:bottom w:val="none" w:sz="0" w:space="0" w:color="auto"/>
            </w:tcBorders>
            <w:hideMark/>
          </w:tcPr>
          <w:p w14:paraId="00DF2135" w14:textId="77777777" w:rsidR="00B55531" w:rsidRPr="003951ED" w:rsidRDefault="00B55531" w:rsidP="007439E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Ποσοτικά &amp; ποιοτικά</w:t>
            </w:r>
          </w:p>
        </w:tc>
        <w:tc>
          <w:tcPr>
            <w:tcW w:w="0" w:type="auto"/>
            <w:tcBorders>
              <w:top w:val="single" w:sz="8" w:space="0" w:color="auto"/>
              <w:bottom w:val="none" w:sz="0" w:space="0" w:color="auto"/>
            </w:tcBorders>
            <w:hideMark/>
          </w:tcPr>
          <w:p w14:paraId="0B099C26" w14:textId="77777777" w:rsidR="00B55531" w:rsidRPr="003951ED" w:rsidRDefault="00B55531" w:rsidP="007439E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Αποτύπωση στάσεων και αξιολόγησης δράσεων</w:t>
            </w:r>
          </w:p>
        </w:tc>
      </w:tr>
      <w:tr w:rsidR="00B55531" w:rsidRPr="003951ED" w14:paraId="32145C10" w14:textId="77777777" w:rsidTr="00A65F3A">
        <w:tc>
          <w:tcPr>
            <w:cnfStyle w:val="001000000000" w:firstRow="0" w:lastRow="0" w:firstColumn="1" w:lastColumn="0" w:oddVBand="0" w:evenVBand="0" w:oddHBand="0" w:evenHBand="0" w:firstRowFirstColumn="0" w:firstRowLastColumn="0" w:lastRowFirstColumn="0" w:lastRowLastColumn="0"/>
            <w:tcW w:w="0" w:type="auto"/>
            <w:hideMark/>
          </w:tcPr>
          <w:p w14:paraId="53609F07" w14:textId="77777777" w:rsidR="00B55531" w:rsidRPr="003951ED" w:rsidRDefault="00B55531" w:rsidP="007439EE">
            <w:pPr>
              <w:ind w:firstLine="284"/>
              <w:jc w:val="center"/>
              <w:rPr>
                <w:lang w:eastAsia="el-GR"/>
              </w:rPr>
            </w:pPr>
            <w:r w:rsidRPr="003951ED">
              <w:rPr>
                <w:lang w:eastAsia="el-GR"/>
              </w:rPr>
              <w:t>Ημερολόγιο δράσης</w:t>
            </w:r>
          </w:p>
        </w:tc>
        <w:tc>
          <w:tcPr>
            <w:tcW w:w="0" w:type="auto"/>
            <w:hideMark/>
          </w:tcPr>
          <w:p w14:paraId="3CC1B9CD" w14:textId="77777777" w:rsidR="00B55531" w:rsidRPr="003951ED" w:rsidRDefault="00B55531" w:rsidP="007439E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Ποιοτικά</w:t>
            </w:r>
          </w:p>
        </w:tc>
        <w:tc>
          <w:tcPr>
            <w:tcW w:w="0" w:type="auto"/>
            <w:hideMark/>
          </w:tcPr>
          <w:p w14:paraId="6F01C5F6" w14:textId="77777777" w:rsidR="00B55531" w:rsidRPr="003951ED" w:rsidRDefault="00B55531" w:rsidP="007439E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Καταγραφή εμπειριών και διαδικασιών</w:t>
            </w:r>
          </w:p>
        </w:tc>
      </w:tr>
      <w:tr w:rsidR="00B55531" w:rsidRPr="003951ED" w14:paraId="218F85C1" w14:textId="77777777" w:rsidTr="00A65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21CA8A7" w14:textId="77777777" w:rsidR="00B55531" w:rsidRPr="003951ED" w:rsidRDefault="00B55531" w:rsidP="007439EE">
            <w:pPr>
              <w:ind w:firstLine="284"/>
              <w:jc w:val="center"/>
              <w:rPr>
                <w:lang w:eastAsia="el-GR"/>
              </w:rPr>
            </w:pPr>
            <w:r w:rsidRPr="003951ED">
              <w:rPr>
                <w:lang w:eastAsia="el-GR"/>
              </w:rPr>
              <w:t>Παρατήρηση</w:t>
            </w:r>
          </w:p>
        </w:tc>
        <w:tc>
          <w:tcPr>
            <w:tcW w:w="0" w:type="auto"/>
            <w:tcBorders>
              <w:top w:val="none" w:sz="0" w:space="0" w:color="auto"/>
              <w:bottom w:val="none" w:sz="0" w:space="0" w:color="auto"/>
            </w:tcBorders>
            <w:hideMark/>
          </w:tcPr>
          <w:p w14:paraId="307EFC84" w14:textId="77777777" w:rsidR="00B55531" w:rsidRPr="003951ED" w:rsidRDefault="00B55531" w:rsidP="007439E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Ποιοτικά</w:t>
            </w:r>
          </w:p>
        </w:tc>
        <w:tc>
          <w:tcPr>
            <w:tcW w:w="0" w:type="auto"/>
            <w:tcBorders>
              <w:top w:val="none" w:sz="0" w:space="0" w:color="auto"/>
              <w:bottom w:val="none" w:sz="0" w:space="0" w:color="auto"/>
            </w:tcBorders>
            <w:hideMark/>
          </w:tcPr>
          <w:p w14:paraId="12AA125F" w14:textId="1E6B6E1D" w:rsidR="00B55531" w:rsidRPr="003951ED" w:rsidRDefault="00B55531" w:rsidP="007439E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Ανάλυση συμπεριφοράς και συμμετοχής μαθητών</w:t>
            </w:r>
            <w:r w:rsidR="00886B81">
              <w:rPr>
                <w:lang w:eastAsia="el-GR"/>
              </w:rPr>
              <w:t>/τριών</w:t>
            </w:r>
          </w:p>
        </w:tc>
      </w:tr>
    </w:tbl>
    <w:p w14:paraId="1A0AFC48" w14:textId="77777777" w:rsidR="00B55531" w:rsidRPr="00CF5F37" w:rsidRDefault="00B55531" w:rsidP="001C71B7">
      <w:pPr>
        <w:spacing w:before="240" w:after="0" w:line="240" w:lineRule="auto"/>
        <w:ind w:firstLine="284"/>
        <w:jc w:val="both"/>
        <w:rPr>
          <w:i/>
          <w:lang w:eastAsia="el-GR"/>
        </w:rPr>
      </w:pPr>
      <w:r w:rsidRPr="00CF5F37">
        <w:rPr>
          <w:i/>
          <w:lang w:eastAsia="el-GR"/>
        </w:rPr>
        <w:t>Διαδικασία υλοποίησης της έρευνας</w:t>
      </w:r>
    </w:p>
    <w:p w14:paraId="327D0E5B" w14:textId="77777777" w:rsidR="00B55531" w:rsidRPr="003951ED" w:rsidRDefault="00B55531" w:rsidP="001C71B7">
      <w:pPr>
        <w:spacing w:after="0" w:line="240" w:lineRule="auto"/>
        <w:ind w:firstLine="284"/>
        <w:jc w:val="both"/>
        <w:rPr>
          <w:lang w:eastAsia="el-GR"/>
        </w:rPr>
      </w:pPr>
      <w:r w:rsidRPr="003951ED">
        <w:rPr>
          <w:lang w:eastAsia="el-GR"/>
        </w:rPr>
        <w:t>Η έρευνα πραγματοποιήθηκε κατά τη διάρκεια του σχολικού έτους και περιλάμβανε</w:t>
      </w:r>
      <w:r w:rsidR="00760496" w:rsidRPr="003951ED">
        <w:rPr>
          <w:lang w:eastAsia="el-GR"/>
        </w:rPr>
        <w:t xml:space="preserve"> τα</w:t>
      </w:r>
      <w:r w:rsidRPr="003951ED">
        <w:rPr>
          <w:lang w:eastAsia="el-GR"/>
        </w:rPr>
        <w:t xml:space="preserve"> τρία βασικά στάδια</w:t>
      </w:r>
      <w:r w:rsidR="00760496" w:rsidRPr="003951ED">
        <w:rPr>
          <w:lang w:eastAsia="el-GR"/>
        </w:rPr>
        <w:t xml:space="preserve"> που αναλύονται αμέσως παρακάτω.</w:t>
      </w:r>
    </w:p>
    <w:p w14:paraId="029C7561" w14:textId="1C1E0064" w:rsidR="00B55531" w:rsidRPr="003951ED" w:rsidRDefault="00B55531" w:rsidP="001C71B7">
      <w:pPr>
        <w:spacing w:after="0" w:line="240" w:lineRule="auto"/>
        <w:ind w:firstLine="284"/>
        <w:jc w:val="both"/>
        <w:rPr>
          <w:lang w:eastAsia="el-GR"/>
        </w:rPr>
      </w:pPr>
      <w:r w:rsidRPr="001C71B7">
        <w:rPr>
          <w:lang w:eastAsia="el-GR"/>
        </w:rPr>
        <w:t>Σχεδιασμός δράσεων</w:t>
      </w:r>
      <w:r w:rsidR="001C71B7">
        <w:rPr>
          <w:lang w:eastAsia="el-GR"/>
        </w:rPr>
        <w:t>:</w:t>
      </w:r>
      <w:r w:rsidR="00760496" w:rsidRPr="003951ED">
        <w:rPr>
          <w:lang w:eastAsia="el-GR"/>
        </w:rPr>
        <w:t xml:space="preserve"> </w:t>
      </w:r>
      <w:r w:rsidRPr="003951ED">
        <w:rPr>
          <w:lang w:eastAsia="el-GR"/>
        </w:rPr>
        <w:t xml:space="preserve">Καθορισμός στόχων, επιλογή δραστηριοτήτων και οργάνωση του προγράμματος </w:t>
      </w:r>
      <w:r w:rsidR="00FC59C5">
        <w:rPr>
          <w:color w:val="EE0000"/>
          <w:lang w:eastAsia="el-GR"/>
        </w:rPr>
        <w:t>διεξαγωγής</w:t>
      </w:r>
      <w:r w:rsidRPr="003951ED">
        <w:rPr>
          <w:lang w:eastAsia="el-GR"/>
        </w:rPr>
        <w:t>.</w:t>
      </w:r>
    </w:p>
    <w:p w14:paraId="474FC62E" w14:textId="77777777" w:rsidR="00B55531" w:rsidRPr="003951ED" w:rsidRDefault="00B55531" w:rsidP="001C71B7">
      <w:pPr>
        <w:spacing w:after="0" w:line="240" w:lineRule="auto"/>
        <w:ind w:firstLine="284"/>
        <w:jc w:val="both"/>
        <w:rPr>
          <w:lang w:eastAsia="el-GR"/>
        </w:rPr>
      </w:pPr>
      <w:r w:rsidRPr="001C71B7">
        <w:rPr>
          <w:lang w:eastAsia="el-GR"/>
        </w:rPr>
        <w:t>Υλοποίηση</w:t>
      </w:r>
      <w:r w:rsidR="001C71B7">
        <w:rPr>
          <w:lang w:eastAsia="el-GR"/>
        </w:rPr>
        <w:t>:</w:t>
      </w:r>
      <w:r w:rsidR="00760496" w:rsidRPr="003951ED">
        <w:rPr>
          <w:lang w:eastAsia="el-GR"/>
        </w:rPr>
        <w:t xml:space="preserve"> </w:t>
      </w:r>
      <w:r w:rsidRPr="003951ED">
        <w:rPr>
          <w:lang w:eastAsia="el-GR"/>
        </w:rPr>
        <w:t>Πραγματοποίηση των δράσεων, οι οποίες περιλάμβαναν</w:t>
      </w:r>
      <w:r w:rsidR="007A508D" w:rsidRPr="003951ED">
        <w:rPr>
          <w:lang w:eastAsia="el-GR"/>
        </w:rPr>
        <w:t xml:space="preserve"> </w:t>
      </w:r>
      <w:r w:rsidRPr="003951ED">
        <w:rPr>
          <w:lang w:eastAsia="el-GR"/>
        </w:rPr>
        <w:t>εκπαιδευτική επίσκεψη σε πινακοθήκη</w:t>
      </w:r>
      <w:r w:rsidR="007A508D" w:rsidRPr="003951ED">
        <w:rPr>
          <w:lang w:eastAsia="el-GR"/>
        </w:rPr>
        <w:t xml:space="preserve">, </w:t>
      </w:r>
      <w:r w:rsidRPr="003951ED">
        <w:rPr>
          <w:lang w:eastAsia="el-GR"/>
        </w:rPr>
        <w:t>παρ</w:t>
      </w:r>
      <w:r w:rsidR="007A508D" w:rsidRPr="003951ED">
        <w:rPr>
          <w:lang w:eastAsia="el-GR"/>
        </w:rPr>
        <w:t xml:space="preserve">ακολούθηση θεατρικής παράστασης, </w:t>
      </w:r>
      <w:r w:rsidRPr="003951ED">
        <w:rPr>
          <w:lang w:eastAsia="el-GR"/>
        </w:rPr>
        <w:t>συμμετοχ</w:t>
      </w:r>
      <w:r w:rsidR="007A508D" w:rsidRPr="003951ED">
        <w:rPr>
          <w:lang w:eastAsia="el-GR"/>
        </w:rPr>
        <w:t xml:space="preserve">ή σε μαθητικό φεστιβάλ χορωδιών, </w:t>
      </w:r>
      <w:r w:rsidRPr="003951ED">
        <w:rPr>
          <w:lang w:eastAsia="el-GR"/>
        </w:rPr>
        <w:t>συμ</w:t>
      </w:r>
      <w:r w:rsidR="007A508D" w:rsidRPr="003951ED">
        <w:rPr>
          <w:lang w:eastAsia="el-GR"/>
        </w:rPr>
        <w:t xml:space="preserve">μετοχή σε μαθηματικό διαγωνισμό και </w:t>
      </w:r>
      <w:r w:rsidRPr="003951ED">
        <w:rPr>
          <w:lang w:eastAsia="el-GR"/>
        </w:rPr>
        <w:t xml:space="preserve">συμμετοχή σε αθλητικό πρόγραμμα </w:t>
      </w:r>
    </w:p>
    <w:p w14:paraId="5A72B88A" w14:textId="77777777" w:rsidR="00B55531" w:rsidRPr="003951ED" w:rsidRDefault="00B55531" w:rsidP="001C71B7">
      <w:pPr>
        <w:spacing w:after="0" w:line="240" w:lineRule="auto"/>
        <w:ind w:firstLine="284"/>
        <w:jc w:val="both"/>
        <w:rPr>
          <w:lang w:eastAsia="el-GR"/>
        </w:rPr>
      </w:pPr>
      <w:r w:rsidRPr="001C71B7">
        <w:rPr>
          <w:lang w:eastAsia="el-GR"/>
        </w:rPr>
        <w:t>Αξιολόγηση</w:t>
      </w:r>
      <w:r w:rsidR="001C71B7">
        <w:rPr>
          <w:lang w:eastAsia="el-GR"/>
        </w:rPr>
        <w:t>:</w:t>
      </w:r>
      <w:r w:rsidR="00760496" w:rsidRPr="003951ED">
        <w:rPr>
          <w:lang w:eastAsia="el-GR"/>
        </w:rPr>
        <w:t xml:space="preserve"> </w:t>
      </w:r>
      <w:r w:rsidRPr="003951ED">
        <w:rPr>
          <w:lang w:eastAsia="el-GR"/>
        </w:rPr>
        <w:t>Συλλογή δεδομένων μέσω ερωτηματολογίου και ανάλυση των αποτελεσμάτων.</w:t>
      </w:r>
    </w:p>
    <w:p w14:paraId="7E1E7134" w14:textId="77777777" w:rsidR="00B55531" w:rsidRPr="007439EE" w:rsidRDefault="00B55531" w:rsidP="001C71B7">
      <w:pPr>
        <w:spacing w:before="240" w:after="0" w:line="240" w:lineRule="auto"/>
        <w:ind w:firstLine="284"/>
        <w:jc w:val="both"/>
        <w:rPr>
          <w:i/>
          <w:lang w:eastAsia="el-GR"/>
        </w:rPr>
      </w:pPr>
      <w:r w:rsidRPr="007439EE">
        <w:rPr>
          <w:i/>
          <w:lang w:eastAsia="el-GR"/>
        </w:rPr>
        <w:t>Ανάλυση δεδομένων</w:t>
      </w:r>
    </w:p>
    <w:p w14:paraId="70E9C762" w14:textId="5B6CC02E" w:rsidR="00B55531" w:rsidRPr="003951ED" w:rsidRDefault="00B55531" w:rsidP="001C71B7">
      <w:pPr>
        <w:spacing w:after="0" w:line="240" w:lineRule="auto"/>
        <w:ind w:firstLine="284"/>
        <w:jc w:val="both"/>
        <w:rPr>
          <w:lang w:eastAsia="el-GR"/>
        </w:rPr>
      </w:pPr>
      <w:r w:rsidRPr="003951ED">
        <w:rPr>
          <w:lang w:eastAsia="el-GR"/>
        </w:rPr>
        <w:t>Τα ποσοτικά δεδομένα αναλύθηκαν με τη χρήση περιγραφικής στατιστικής (</w:t>
      </w:r>
      <w:proofErr w:type="spellStart"/>
      <w:r w:rsidRPr="003951ED">
        <w:rPr>
          <w:lang w:eastAsia="el-GR"/>
        </w:rPr>
        <w:t>descriptive</w:t>
      </w:r>
      <w:proofErr w:type="spellEnd"/>
      <w:r w:rsidRPr="003951ED">
        <w:rPr>
          <w:lang w:eastAsia="el-GR"/>
        </w:rPr>
        <w:t xml:space="preserve"> </w:t>
      </w:r>
      <w:proofErr w:type="spellStart"/>
      <w:r w:rsidRPr="003951ED">
        <w:rPr>
          <w:lang w:eastAsia="el-GR"/>
        </w:rPr>
        <w:t>statistics</w:t>
      </w:r>
      <w:proofErr w:type="spellEnd"/>
      <w:r w:rsidRPr="003951ED">
        <w:rPr>
          <w:lang w:eastAsia="el-GR"/>
        </w:rPr>
        <w:t>), όπως συχνότητες και ποσοστά</w:t>
      </w:r>
      <w:r w:rsidR="00CF5F37">
        <w:rPr>
          <w:lang w:eastAsia="el-GR"/>
        </w:rPr>
        <w:t xml:space="preserve"> </w:t>
      </w:r>
      <w:r w:rsidR="00CF5F37" w:rsidRPr="00CF5F37">
        <w:rPr>
          <w:lang w:eastAsia="el-GR"/>
        </w:rPr>
        <w:t>(</w:t>
      </w:r>
      <w:proofErr w:type="spellStart"/>
      <w:r w:rsidR="00CF5F37" w:rsidRPr="00CF5F37">
        <w:rPr>
          <w:lang w:eastAsia="el-GR"/>
        </w:rPr>
        <w:t>Cohen</w:t>
      </w:r>
      <w:proofErr w:type="spellEnd"/>
      <w:r w:rsidR="00CF5F37" w:rsidRPr="00CF5F37">
        <w:rPr>
          <w:lang w:eastAsia="el-GR"/>
        </w:rPr>
        <w:t xml:space="preserve"> et </w:t>
      </w:r>
      <w:proofErr w:type="spellStart"/>
      <w:r w:rsidR="00CF5F37" w:rsidRPr="00CF5F37">
        <w:rPr>
          <w:lang w:eastAsia="el-GR"/>
        </w:rPr>
        <w:t>al</w:t>
      </w:r>
      <w:proofErr w:type="spellEnd"/>
      <w:r w:rsidR="00CF5F37" w:rsidRPr="00CF5F37">
        <w:rPr>
          <w:lang w:eastAsia="el-GR"/>
        </w:rPr>
        <w:t>., 2018</w:t>
      </w:r>
      <w:r w:rsidR="00002672">
        <w:rPr>
          <w:rFonts w:cstheme="minorHAnsi"/>
          <w:lang w:eastAsia="el-GR"/>
        </w:rPr>
        <w:t>∙</w:t>
      </w:r>
      <w:r w:rsidR="00557718" w:rsidRPr="00557718">
        <w:t xml:space="preserve"> </w:t>
      </w:r>
      <w:proofErr w:type="spellStart"/>
      <w:r w:rsidR="00557718" w:rsidRPr="00557718">
        <w:rPr>
          <w:lang w:eastAsia="el-GR"/>
        </w:rPr>
        <w:t>Creswell</w:t>
      </w:r>
      <w:proofErr w:type="spellEnd"/>
      <w:r w:rsidR="00002672">
        <w:rPr>
          <w:lang w:eastAsia="el-GR"/>
        </w:rPr>
        <w:t xml:space="preserve">, </w:t>
      </w:r>
      <w:r w:rsidR="00557718" w:rsidRPr="00557718">
        <w:rPr>
          <w:lang w:eastAsia="el-GR"/>
        </w:rPr>
        <w:t>2011</w:t>
      </w:r>
      <w:r w:rsidR="00CF5F37" w:rsidRPr="00CF5F37">
        <w:rPr>
          <w:lang w:eastAsia="el-GR"/>
        </w:rPr>
        <w:t>)</w:t>
      </w:r>
      <w:r w:rsidRPr="003951ED">
        <w:rPr>
          <w:lang w:eastAsia="el-GR"/>
        </w:rPr>
        <w:t xml:space="preserve">. </w:t>
      </w:r>
      <w:r w:rsidR="00AE7B25" w:rsidRPr="00AE7B25">
        <w:rPr>
          <w:color w:val="FF0000"/>
        </w:rPr>
        <w:t xml:space="preserve">Λόγω του μικρού μεγέθους του δείγματος (Ν=17), η ανάλυση περιορίστηκε σε περιγραφική στατιστική, καθώς η εφαρμογή επαγωγικών στατιστικών ελέγχων θα ήταν μεθοδολογικά επισφαλής και </w:t>
      </w:r>
      <w:r w:rsidR="00AE7B25" w:rsidRPr="00AE7B25">
        <w:rPr>
          <w:color w:val="FF0000"/>
        </w:rPr>
        <w:lastRenderedPageBreak/>
        <w:t>δε θα παρείχε αξιόπιστα αποτελέσματα (</w:t>
      </w:r>
      <w:proofErr w:type="spellStart"/>
      <w:r w:rsidR="00AE7B25" w:rsidRPr="00AE7B25">
        <w:rPr>
          <w:color w:val="FF0000"/>
        </w:rPr>
        <w:t>Cohen</w:t>
      </w:r>
      <w:proofErr w:type="spellEnd"/>
      <w:r w:rsidR="00AE7B25" w:rsidRPr="00AE7B25">
        <w:rPr>
          <w:color w:val="FF0000"/>
        </w:rPr>
        <w:t xml:space="preserve"> </w:t>
      </w:r>
      <w:proofErr w:type="spellStart"/>
      <w:r w:rsidR="00AE7B25" w:rsidRPr="00AE7B25">
        <w:rPr>
          <w:color w:val="FF0000"/>
        </w:rPr>
        <w:t>et</w:t>
      </w:r>
      <w:proofErr w:type="spellEnd"/>
      <w:r w:rsidR="00AE7B25" w:rsidRPr="00AE7B25">
        <w:rPr>
          <w:color w:val="FF0000"/>
        </w:rPr>
        <w:t xml:space="preserve"> </w:t>
      </w:r>
      <w:proofErr w:type="spellStart"/>
      <w:r w:rsidR="00AE7B25" w:rsidRPr="00AE7B25">
        <w:rPr>
          <w:color w:val="FF0000"/>
        </w:rPr>
        <w:t>al</w:t>
      </w:r>
      <w:proofErr w:type="spellEnd"/>
      <w:r w:rsidR="00AE7B25" w:rsidRPr="00AE7B25">
        <w:rPr>
          <w:color w:val="FF0000"/>
        </w:rPr>
        <w:t>., 2018). Η επιλογή αυτή θεωρείται κατάλληλη σε έρευνες με μικρά δείγματα, όπου η έμφαση δίνεται στην περιγραφή των τάσεων και όχι στη γενίκευση των αποτελεσμάτων.</w:t>
      </w:r>
      <w:r w:rsidR="00AE7B25">
        <w:t xml:space="preserve"> </w:t>
      </w:r>
      <w:r w:rsidRPr="003951ED">
        <w:rPr>
          <w:lang w:eastAsia="el-GR"/>
        </w:rPr>
        <w:t xml:space="preserve">Η ανάλυση αυτή επέτρεψε την αποτύπωση των τάσεων και των στάσεων των </w:t>
      </w:r>
      <w:r w:rsidRPr="00AE7B25">
        <w:rPr>
          <w:color w:val="FF0000"/>
          <w:lang w:eastAsia="el-GR"/>
        </w:rPr>
        <w:t>συμμετεχόντων.</w:t>
      </w:r>
    </w:p>
    <w:p w14:paraId="5392DF3B" w14:textId="3B1784AA" w:rsidR="00B55531" w:rsidRDefault="00B55531" w:rsidP="001C71B7">
      <w:pPr>
        <w:spacing w:after="0" w:line="240" w:lineRule="auto"/>
        <w:ind w:firstLine="284"/>
        <w:jc w:val="both"/>
        <w:rPr>
          <w:lang w:eastAsia="el-GR"/>
        </w:rPr>
      </w:pPr>
      <w:r w:rsidRPr="003951ED">
        <w:rPr>
          <w:lang w:eastAsia="el-GR"/>
        </w:rPr>
        <w:t>Τα ποιοτικά δεδομένα αναλύθηκαν μέσω θεματικής ανάλυσης (</w:t>
      </w:r>
      <w:proofErr w:type="spellStart"/>
      <w:r w:rsidRPr="003951ED">
        <w:rPr>
          <w:lang w:eastAsia="el-GR"/>
        </w:rPr>
        <w:t>thematic</w:t>
      </w:r>
      <w:proofErr w:type="spellEnd"/>
      <w:r w:rsidRPr="003951ED">
        <w:rPr>
          <w:lang w:eastAsia="el-GR"/>
        </w:rPr>
        <w:t xml:space="preserve"> </w:t>
      </w:r>
      <w:proofErr w:type="spellStart"/>
      <w:r w:rsidRPr="003951ED">
        <w:rPr>
          <w:lang w:eastAsia="el-GR"/>
        </w:rPr>
        <w:t>analysis</w:t>
      </w:r>
      <w:proofErr w:type="spellEnd"/>
      <w:r w:rsidRPr="003951ED">
        <w:rPr>
          <w:lang w:eastAsia="el-GR"/>
        </w:rPr>
        <w:t>), κατά την οποία εντοπίστηκαν επαναλαμβανόμενα μοτίβα και θεματικές κατηγορίες (</w:t>
      </w:r>
      <w:proofErr w:type="spellStart"/>
      <w:r w:rsidRPr="003951ED">
        <w:rPr>
          <w:lang w:eastAsia="el-GR"/>
        </w:rPr>
        <w:t>Braun</w:t>
      </w:r>
      <w:proofErr w:type="spellEnd"/>
      <w:r w:rsidRPr="003951ED">
        <w:rPr>
          <w:lang w:eastAsia="el-GR"/>
        </w:rPr>
        <w:t xml:space="preserve"> &amp; </w:t>
      </w:r>
      <w:proofErr w:type="spellStart"/>
      <w:r w:rsidRPr="003951ED">
        <w:rPr>
          <w:lang w:eastAsia="el-GR"/>
        </w:rPr>
        <w:t>Clarke</w:t>
      </w:r>
      <w:proofErr w:type="spellEnd"/>
      <w:r w:rsidRPr="003951ED">
        <w:rPr>
          <w:lang w:eastAsia="el-GR"/>
        </w:rPr>
        <w:t xml:space="preserve">, </w:t>
      </w:r>
      <w:r w:rsidR="00131644" w:rsidRPr="003951ED">
        <w:rPr>
          <w:lang w:eastAsia="el-GR"/>
        </w:rPr>
        <w:t xml:space="preserve">2006). Η διαδικασία περιλάμβανε </w:t>
      </w:r>
      <w:r w:rsidRPr="003951ED">
        <w:rPr>
          <w:lang w:eastAsia="el-GR"/>
        </w:rPr>
        <w:t>αρχική κωδικοποίηση</w:t>
      </w:r>
      <w:r w:rsidR="008F3C31">
        <w:rPr>
          <w:lang w:eastAsia="el-GR"/>
        </w:rPr>
        <w:t>,</w:t>
      </w:r>
      <w:r w:rsidR="00131644" w:rsidRPr="003951ED">
        <w:rPr>
          <w:lang w:eastAsia="el-GR"/>
        </w:rPr>
        <w:t xml:space="preserve"> </w:t>
      </w:r>
      <w:r w:rsidRPr="003951ED">
        <w:rPr>
          <w:lang w:eastAsia="el-GR"/>
        </w:rPr>
        <w:t xml:space="preserve">ομαδοποίηση κωδίκων </w:t>
      </w:r>
      <w:r w:rsidR="00131644" w:rsidRPr="003951ED">
        <w:rPr>
          <w:lang w:eastAsia="el-GR"/>
        </w:rPr>
        <w:t xml:space="preserve">και </w:t>
      </w:r>
      <w:r w:rsidRPr="003951ED">
        <w:rPr>
          <w:lang w:eastAsia="el-GR"/>
        </w:rPr>
        <w:t>εξαγωγή θεματικών αξόνων</w:t>
      </w:r>
      <w:r w:rsidR="00002672">
        <w:rPr>
          <w:lang w:eastAsia="el-GR"/>
        </w:rPr>
        <w:t>.</w:t>
      </w:r>
      <w:r w:rsidRPr="003951ED">
        <w:rPr>
          <w:lang w:eastAsia="el-GR"/>
        </w:rPr>
        <w:t xml:space="preserve"> </w:t>
      </w:r>
    </w:p>
    <w:p w14:paraId="448AB22D" w14:textId="77777777" w:rsidR="00B55531" w:rsidRPr="003951ED" w:rsidRDefault="00B55531" w:rsidP="001C71B7">
      <w:pPr>
        <w:spacing w:before="240" w:after="0" w:line="240" w:lineRule="auto"/>
        <w:ind w:firstLine="284"/>
        <w:jc w:val="both"/>
        <w:rPr>
          <w:i/>
          <w:lang w:eastAsia="el-GR"/>
        </w:rPr>
      </w:pPr>
      <w:r w:rsidRPr="003951ED">
        <w:rPr>
          <w:i/>
          <w:lang w:eastAsia="el-GR"/>
        </w:rPr>
        <w:t>Εγκυρότητα και αξιοπιστία</w:t>
      </w:r>
    </w:p>
    <w:p w14:paraId="17E236BA" w14:textId="5A6E75B1" w:rsidR="00B55531" w:rsidRPr="003951ED" w:rsidRDefault="00B55531" w:rsidP="001C71B7">
      <w:pPr>
        <w:spacing w:after="0" w:line="240" w:lineRule="auto"/>
        <w:ind w:firstLine="284"/>
        <w:jc w:val="both"/>
        <w:rPr>
          <w:lang w:eastAsia="el-GR"/>
        </w:rPr>
      </w:pPr>
      <w:r w:rsidRPr="003951ED">
        <w:rPr>
          <w:lang w:eastAsia="el-GR"/>
        </w:rPr>
        <w:t xml:space="preserve">Για τη διασφάλιση της εγκυρότητας και αξιοπιστίας της έρευνας εφαρμόστηκαν </w:t>
      </w:r>
      <w:proofErr w:type="spellStart"/>
      <w:r w:rsidR="00760496" w:rsidRPr="003951ED">
        <w:rPr>
          <w:lang w:eastAsia="el-GR"/>
        </w:rPr>
        <w:t>τ</w:t>
      </w:r>
      <w:r w:rsidRPr="003951ED">
        <w:rPr>
          <w:lang w:eastAsia="el-GR"/>
        </w:rPr>
        <w:t>ριγωνοποίηση</w:t>
      </w:r>
      <w:proofErr w:type="spellEnd"/>
      <w:r w:rsidRPr="003951ED">
        <w:rPr>
          <w:lang w:eastAsia="el-GR"/>
        </w:rPr>
        <w:t xml:space="preserve"> δεδομένων (</w:t>
      </w:r>
      <w:proofErr w:type="spellStart"/>
      <w:r w:rsidRPr="003951ED">
        <w:rPr>
          <w:lang w:eastAsia="el-GR"/>
        </w:rPr>
        <w:t>triangulation</w:t>
      </w:r>
      <w:proofErr w:type="spellEnd"/>
      <w:r w:rsidRPr="003951ED">
        <w:rPr>
          <w:lang w:eastAsia="el-GR"/>
        </w:rPr>
        <w:t xml:space="preserve">) μέσω πολλαπλών εργαλείων </w:t>
      </w:r>
      <w:r w:rsidR="00760496" w:rsidRPr="003951ED">
        <w:rPr>
          <w:lang w:eastAsia="el-GR"/>
        </w:rPr>
        <w:t>και σ</w:t>
      </w:r>
      <w:r w:rsidRPr="003951ED">
        <w:rPr>
          <w:lang w:eastAsia="el-GR"/>
        </w:rPr>
        <w:t>αφήνεια ερωτήσεων</w:t>
      </w:r>
      <w:r w:rsidR="00760496" w:rsidRPr="003951ED">
        <w:rPr>
          <w:lang w:eastAsia="el-GR"/>
        </w:rPr>
        <w:t xml:space="preserve"> στο ερωτηματολόγιο, καθώς επίσης σ</w:t>
      </w:r>
      <w:r w:rsidRPr="003951ED">
        <w:rPr>
          <w:lang w:eastAsia="el-GR"/>
        </w:rPr>
        <w:t xml:space="preserve">υνδυασμός ποσοτικών και ποιοτικών δεδομένων </w:t>
      </w:r>
      <w:r w:rsidR="00760496" w:rsidRPr="003951ED">
        <w:rPr>
          <w:lang w:eastAsia="el-GR"/>
        </w:rPr>
        <w:t>και δ</w:t>
      </w:r>
      <w:r w:rsidRPr="003951ED">
        <w:rPr>
          <w:lang w:eastAsia="el-GR"/>
        </w:rPr>
        <w:t>ιαφάνεια στη διαδικασία ανάλυσης</w:t>
      </w:r>
      <w:r w:rsidR="00557718" w:rsidRPr="00557718">
        <w:t xml:space="preserve"> </w:t>
      </w:r>
      <w:r w:rsidR="00557718">
        <w:t>(</w:t>
      </w:r>
      <w:proofErr w:type="spellStart"/>
      <w:r w:rsidR="00002672">
        <w:t>Cohen</w:t>
      </w:r>
      <w:proofErr w:type="spellEnd"/>
      <w:r w:rsidR="00002672">
        <w:t xml:space="preserve"> et </w:t>
      </w:r>
      <w:proofErr w:type="spellStart"/>
      <w:r w:rsidR="00002672">
        <w:t>al</w:t>
      </w:r>
      <w:proofErr w:type="spellEnd"/>
      <w:r w:rsidR="00002672">
        <w:t>., 2018</w:t>
      </w:r>
      <w:r w:rsidR="00002672">
        <w:rPr>
          <w:rFonts w:cstheme="minorHAnsi"/>
        </w:rPr>
        <w:t>∙</w:t>
      </w:r>
      <w:r w:rsidR="00002672">
        <w:t xml:space="preserve"> </w:t>
      </w:r>
      <w:proofErr w:type="spellStart"/>
      <w:r w:rsidR="00557718">
        <w:t>Creswell</w:t>
      </w:r>
      <w:proofErr w:type="spellEnd"/>
      <w:r w:rsidR="00557718">
        <w:t>, 2011)</w:t>
      </w:r>
      <w:r w:rsidR="00004EC3" w:rsidRPr="003951ED">
        <w:rPr>
          <w:lang w:eastAsia="el-GR"/>
        </w:rPr>
        <w:t>. Η σύγκλιση των ευρημάτων από διαφορετικές πηγές δεδομένων ενισχύει την εσωτερική εγκυρότητα της έρευνας</w:t>
      </w:r>
      <w:r w:rsidR="00CD089E" w:rsidRPr="00CD089E">
        <w:t xml:space="preserve"> </w:t>
      </w:r>
      <w:r w:rsidR="00CD089E">
        <w:t>(</w:t>
      </w:r>
      <w:proofErr w:type="spellStart"/>
      <w:r w:rsidR="00CD089E" w:rsidRPr="00CD089E">
        <w:rPr>
          <w:lang w:eastAsia="el-GR"/>
        </w:rPr>
        <w:t>Creswell</w:t>
      </w:r>
      <w:proofErr w:type="spellEnd"/>
      <w:r w:rsidR="00CD089E" w:rsidRPr="00CD089E">
        <w:rPr>
          <w:lang w:eastAsia="el-GR"/>
        </w:rPr>
        <w:t>, 2011</w:t>
      </w:r>
      <w:r w:rsidR="00CD089E">
        <w:rPr>
          <w:lang w:eastAsia="el-GR"/>
        </w:rPr>
        <w:t>)</w:t>
      </w:r>
      <w:r w:rsidR="00004EC3" w:rsidRPr="003951ED">
        <w:rPr>
          <w:lang w:eastAsia="el-GR"/>
        </w:rPr>
        <w:t>.</w:t>
      </w:r>
      <w:r w:rsidRPr="003951ED">
        <w:rPr>
          <w:lang w:eastAsia="el-GR"/>
        </w:rPr>
        <w:t xml:space="preserve"> </w:t>
      </w:r>
    </w:p>
    <w:p w14:paraId="5C5A30E5" w14:textId="77777777" w:rsidR="00B55531" w:rsidRPr="003951ED" w:rsidRDefault="00B55531" w:rsidP="001C71B7">
      <w:pPr>
        <w:spacing w:before="240" w:after="0" w:line="240" w:lineRule="auto"/>
        <w:ind w:firstLine="284"/>
        <w:jc w:val="both"/>
        <w:rPr>
          <w:i/>
          <w:lang w:eastAsia="el-GR"/>
        </w:rPr>
      </w:pPr>
      <w:r w:rsidRPr="003951ED">
        <w:rPr>
          <w:i/>
          <w:lang w:eastAsia="el-GR"/>
        </w:rPr>
        <w:t>Ηθικές διαστάσεις της έρευνας</w:t>
      </w:r>
    </w:p>
    <w:p w14:paraId="0B12AB4B" w14:textId="76159B05" w:rsidR="00B55531" w:rsidRPr="003951ED" w:rsidRDefault="00B55531" w:rsidP="001C71B7">
      <w:pPr>
        <w:spacing w:after="0" w:line="240" w:lineRule="auto"/>
        <w:ind w:firstLine="284"/>
        <w:jc w:val="both"/>
        <w:rPr>
          <w:lang w:eastAsia="el-GR"/>
        </w:rPr>
      </w:pPr>
      <w:r w:rsidRPr="003951ED">
        <w:rPr>
          <w:lang w:eastAsia="el-GR"/>
        </w:rPr>
        <w:t>Η έρευνα πραγματοποιήθηκε με σεβασμό στις αρχές της ερευνητικής δεοντολογίας. Συγκεκριμένα</w:t>
      </w:r>
      <w:r w:rsidR="00002672">
        <w:rPr>
          <w:lang w:eastAsia="el-GR"/>
        </w:rPr>
        <w:t>,</w:t>
      </w:r>
      <w:r w:rsidR="007A508D" w:rsidRPr="003951ED">
        <w:rPr>
          <w:lang w:eastAsia="el-GR"/>
        </w:rPr>
        <w:t xml:space="preserve"> </w:t>
      </w:r>
      <w:r w:rsidRPr="003951ED">
        <w:rPr>
          <w:lang w:eastAsia="el-GR"/>
        </w:rPr>
        <w:t xml:space="preserve">διασφαλίστηκε η ανωνυμία των </w:t>
      </w:r>
      <w:r w:rsidRPr="00DF457A">
        <w:rPr>
          <w:color w:val="FF0000"/>
          <w:lang w:eastAsia="el-GR"/>
        </w:rPr>
        <w:t>συμμετεχόντων</w:t>
      </w:r>
      <w:r w:rsidR="007A508D" w:rsidRPr="003951ED">
        <w:rPr>
          <w:lang w:eastAsia="el-GR"/>
        </w:rPr>
        <w:t xml:space="preserve">, </w:t>
      </w:r>
      <w:r w:rsidRPr="003951ED">
        <w:rPr>
          <w:lang w:eastAsia="el-GR"/>
        </w:rPr>
        <w:t xml:space="preserve">η </w:t>
      </w:r>
      <w:r w:rsidR="007A508D" w:rsidRPr="003951ED">
        <w:rPr>
          <w:lang w:eastAsia="el-GR"/>
        </w:rPr>
        <w:t xml:space="preserve">εθελοντική </w:t>
      </w:r>
      <w:r w:rsidRPr="003951ED">
        <w:rPr>
          <w:lang w:eastAsia="el-GR"/>
        </w:rPr>
        <w:t xml:space="preserve">συμμετοχή </w:t>
      </w:r>
      <w:r w:rsidR="007A508D" w:rsidRPr="003951ED">
        <w:rPr>
          <w:lang w:eastAsia="el-GR"/>
        </w:rPr>
        <w:t xml:space="preserve"> και ότι </w:t>
      </w:r>
      <w:r w:rsidRPr="003951ED">
        <w:rPr>
          <w:lang w:eastAsia="el-GR"/>
        </w:rPr>
        <w:t>τα δεδομένα χρησιμοποιήθηκαν αποκλειστικά για ερευνητικούς σκοπούς</w:t>
      </w:r>
      <w:r w:rsidR="00394962" w:rsidRPr="003951ED">
        <w:rPr>
          <w:lang w:eastAsia="el-GR"/>
        </w:rPr>
        <w:t>. Η συνδυαστική ανάλυση ποσοτικών και ποιοτικών δεδομένων επιτρέπει μια πιο ολοκληρωμένη κατανόηση της αποτελεσματικότητας των δράσεων και ενισχύει την ερμηνευτική ισχύ των ευρημάτων</w:t>
      </w:r>
      <w:r w:rsidR="00557718">
        <w:rPr>
          <w:lang w:eastAsia="el-GR"/>
        </w:rPr>
        <w:t xml:space="preserve"> </w:t>
      </w:r>
      <w:r w:rsidR="00557718" w:rsidRPr="00557718">
        <w:rPr>
          <w:lang w:eastAsia="el-GR"/>
        </w:rPr>
        <w:t>(</w:t>
      </w:r>
      <w:proofErr w:type="spellStart"/>
      <w:r w:rsidR="00557718" w:rsidRPr="00557718">
        <w:rPr>
          <w:lang w:eastAsia="el-GR"/>
        </w:rPr>
        <w:t>Bryman</w:t>
      </w:r>
      <w:proofErr w:type="spellEnd"/>
      <w:r w:rsidR="00557718" w:rsidRPr="00557718">
        <w:rPr>
          <w:lang w:eastAsia="el-GR"/>
        </w:rPr>
        <w:t>, 2017)</w:t>
      </w:r>
      <w:r w:rsidR="00394962" w:rsidRPr="003951ED">
        <w:rPr>
          <w:lang w:eastAsia="el-GR"/>
        </w:rPr>
        <w:t>.</w:t>
      </w:r>
    </w:p>
    <w:p w14:paraId="66421783" w14:textId="77777777" w:rsidR="0040780B" w:rsidRPr="003951ED" w:rsidRDefault="0040780B" w:rsidP="001C71B7">
      <w:pPr>
        <w:spacing w:before="240" w:after="0" w:line="240" w:lineRule="auto"/>
        <w:ind w:firstLine="284"/>
        <w:jc w:val="both"/>
        <w:rPr>
          <w:i/>
          <w:lang w:eastAsia="el-GR"/>
        </w:rPr>
      </w:pPr>
      <w:r w:rsidRPr="003951ED">
        <w:rPr>
          <w:i/>
          <w:lang w:eastAsia="el-GR"/>
        </w:rPr>
        <w:t>Λειτουργικοί ορισμοί βασικών εννοιών</w:t>
      </w:r>
    </w:p>
    <w:p w14:paraId="108CF06F" w14:textId="47DB312F" w:rsidR="0040780B" w:rsidRPr="003951ED" w:rsidRDefault="0040780B" w:rsidP="001C71B7">
      <w:pPr>
        <w:spacing w:after="0" w:line="240" w:lineRule="auto"/>
        <w:ind w:firstLine="284"/>
        <w:jc w:val="both"/>
        <w:rPr>
          <w:lang w:eastAsia="el-GR"/>
        </w:rPr>
      </w:pPr>
      <w:r w:rsidRPr="003951ED">
        <w:rPr>
          <w:lang w:eastAsia="el-GR"/>
        </w:rPr>
        <w:t xml:space="preserve">Στο πλαίσιο της παρούσας έρευνας, οι βασικές έννοιες ορίζονται λειτουργικά </w:t>
      </w:r>
      <w:r w:rsidR="00394962" w:rsidRPr="003951ED">
        <w:rPr>
          <w:lang w:eastAsia="el-GR"/>
        </w:rPr>
        <w:t>στις προτάσεις που ακολουθούν</w:t>
      </w:r>
      <w:r w:rsidR="00343834" w:rsidRPr="00343834">
        <w:rPr>
          <w:color w:val="EE0000"/>
          <w:lang w:eastAsia="el-GR"/>
        </w:rPr>
        <w:t>:</w:t>
      </w:r>
    </w:p>
    <w:p w14:paraId="09F07EC3" w14:textId="25A533DB" w:rsidR="0040780B" w:rsidRPr="003951ED" w:rsidRDefault="00394962" w:rsidP="001C71B7">
      <w:pPr>
        <w:spacing w:after="0" w:line="240" w:lineRule="auto"/>
        <w:ind w:firstLine="284"/>
        <w:jc w:val="both"/>
        <w:rPr>
          <w:lang w:eastAsia="el-GR"/>
        </w:rPr>
      </w:pPr>
      <w:r w:rsidRPr="003951ED">
        <w:rPr>
          <w:lang w:eastAsia="el-GR"/>
        </w:rPr>
        <w:t>Η ε</w:t>
      </w:r>
      <w:r w:rsidR="0040780B" w:rsidRPr="003951ED">
        <w:rPr>
          <w:lang w:eastAsia="el-GR"/>
        </w:rPr>
        <w:t xml:space="preserve">νεργός συμμετοχή </w:t>
      </w:r>
      <w:r w:rsidR="0040780B" w:rsidRPr="00DF457A">
        <w:rPr>
          <w:color w:val="FF0000"/>
          <w:lang w:eastAsia="el-GR"/>
        </w:rPr>
        <w:t>μαθητών</w:t>
      </w:r>
      <w:r w:rsidRPr="003951ED">
        <w:rPr>
          <w:lang w:eastAsia="el-GR"/>
        </w:rPr>
        <w:t xml:space="preserve"> αναφέρεται στον </w:t>
      </w:r>
      <w:r w:rsidR="0040780B" w:rsidRPr="003951ED">
        <w:rPr>
          <w:lang w:eastAsia="el-GR"/>
        </w:rPr>
        <w:t>βαθμό εμπλοκής τ</w:t>
      </w:r>
      <w:r w:rsidR="00002672">
        <w:rPr>
          <w:lang w:eastAsia="el-GR"/>
        </w:rPr>
        <w:t>ους</w:t>
      </w:r>
      <w:r w:rsidR="0040780B" w:rsidRPr="003951ED">
        <w:rPr>
          <w:lang w:eastAsia="el-GR"/>
        </w:rPr>
        <w:t xml:space="preserve"> στις δραστηριότητες, όπως αποτυπώνεται μέσω των απαντήσεων των εκπαιδευτικών στο ερωτηματολόγιο και της παρατήρησης κατά τη διάρκεια των δράσεων. </w:t>
      </w:r>
    </w:p>
    <w:p w14:paraId="6A3BA74D" w14:textId="4BADFD72" w:rsidR="0040780B" w:rsidRPr="003951ED" w:rsidRDefault="00394962" w:rsidP="001C71B7">
      <w:pPr>
        <w:spacing w:after="0" w:line="240" w:lineRule="auto"/>
        <w:ind w:firstLine="284"/>
        <w:jc w:val="both"/>
        <w:rPr>
          <w:lang w:eastAsia="el-GR"/>
        </w:rPr>
      </w:pPr>
      <w:r w:rsidRPr="003951ED">
        <w:rPr>
          <w:lang w:eastAsia="el-GR"/>
        </w:rPr>
        <w:t>Οι σ</w:t>
      </w:r>
      <w:r w:rsidR="0040780B" w:rsidRPr="003951ED">
        <w:rPr>
          <w:lang w:eastAsia="el-GR"/>
        </w:rPr>
        <w:t>υνεργατικές δεξιότητες</w:t>
      </w:r>
      <w:r w:rsidRPr="003951ED">
        <w:rPr>
          <w:lang w:eastAsia="el-GR"/>
        </w:rPr>
        <w:t>, δηλαδή η</w:t>
      </w:r>
      <w:r w:rsidR="0040780B" w:rsidRPr="003951ED">
        <w:rPr>
          <w:lang w:eastAsia="el-GR"/>
        </w:rPr>
        <w:t xml:space="preserve"> ικανότητα των </w:t>
      </w:r>
      <w:r w:rsidR="0040780B" w:rsidRPr="00DF457A">
        <w:rPr>
          <w:color w:val="FF0000"/>
          <w:lang w:eastAsia="el-GR"/>
        </w:rPr>
        <w:t>μαθητών</w:t>
      </w:r>
      <w:r w:rsidR="0040780B" w:rsidRPr="003951ED">
        <w:rPr>
          <w:lang w:eastAsia="el-GR"/>
        </w:rPr>
        <w:t xml:space="preserve"> να εργάζονται αποτελεσματικά σε ομάδες, να επικοινωνούν και να συμβάλλουν στην επίτευξη κοινών στόχων, όπως αξιολογήθηκε από </w:t>
      </w:r>
      <w:r w:rsidR="00002672" w:rsidRPr="00DF457A">
        <w:rPr>
          <w:color w:val="FF0000"/>
          <w:lang w:eastAsia="el-GR"/>
        </w:rPr>
        <w:t>τους</w:t>
      </w:r>
      <w:r w:rsidR="0040780B" w:rsidRPr="003951ED">
        <w:rPr>
          <w:lang w:eastAsia="el-GR"/>
        </w:rPr>
        <w:t xml:space="preserve"> εκπαιδευτικούς. </w:t>
      </w:r>
    </w:p>
    <w:p w14:paraId="0D8E121D" w14:textId="54488408" w:rsidR="0040780B" w:rsidRPr="003951ED" w:rsidRDefault="00394962" w:rsidP="001C71B7">
      <w:pPr>
        <w:spacing w:after="0" w:line="240" w:lineRule="auto"/>
        <w:ind w:firstLine="284"/>
        <w:jc w:val="both"/>
        <w:rPr>
          <w:lang w:eastAsia="el-GR"/>
        </w:rPr>
      </w:pPr>
      <w:r w:rsidRPr="003951ED">
        <w:rPr>
          <w:lang w:eastAsia="el-GR"/>
        </w:rPr>
        <w:t>Η δ</w:t>
      </w:r>
      <w:r w:rsidR="0040780B" w:rsidRPr="003951ED">
        <w:rPr>
          <w:lang w:eastAsia="el-GR"/>
        </w:rPr>
        <w:t>ημιουργικότητα</w:t>
      </w:r>
      <w:r w:rsidRPr="003951ED">
        <w:rPr>
          <w:lang w:eastAsia="el-GR"/>
        </w:rPr>
        <w:t xml:space="preserve"> αφορά την</w:t>
      </w:r>
      <w:r w:rsidR="0040780B" w:rsidRPr="003951ED">
        <w:rPr>
          <w:lang w:eastAsia="el-GR"/>
        </w:rPr>
        <w:t xml:space="preserve"> ικανότητα παραγωγής πρωτότυπων ιδεών και εκφραστικών μορφών, </w:t>
      </w:r>
      <w:r w:rsidR="00343834" w:rsidRPr="00343834">
        <w:rPr>
          <w:color w:val="EE0000"/>
          <w:lang w:eastAsia="el-GR"/>
        </w:rPr>
        <w:t>που</w:t>
      </w:r>
      <w:r w:rsidR="0040780B" w:rsidRPr="003951ED">
        <w:rPr>
          <w:lang w:eastAsia="el-GR"/>
        </w:rPr>
        <w:t xml:space="preserve"> παρατηρήθηκε σε καλλιτεχνικές και διαθεματικές δραστηριότητες. </w:t>
      </w:r>
    </w:p>
    <w:p w14:paraId="1E598D8C" w14:textId="7517AA73" w:rsidR="0040780B" w:rsidRPr="003951ED" w:rsidRDefault="00394962" w:rsidP="001C71B7">
      <w:pPr>
        <w:spacing w:after="0" w:line="240" w:lineRule="auto"/>
        <w:ind w:firstLine="284"/>
        <w:jc w:val="both"/>
        <w:rPr>
          <w:lang w:eastAsia="el-GR"/>
        </w:rPr>
      </w:pPr>
      <w:r w:rsidRPr="003951ED">
        <w:rPr>
          <w:lang w:eastAsia="el-GR"/>
        </w:rPr>
        <w:t xml:space="preserve">Η αποτελεσματικότητα των δράσεων, </w:t>
      </w:r>
      <w:r w:rsidR="00343834" w:rsidRPr="00343834">
        <w:rPr>
          <w:color w:val="EE0000"/>
          <w:lang w:eastAsia="el-GR"/>
        </w:rPr>
        <w:t>ειδικότερα</w:t>
      </w:r>
      <w:r w:rsidRPr="003951ED">
        <w:rPr>
          <w:lang w:eastAsia="el-GR"/>
        </w:rPr>
        <w:t xml:space="preserve"> ο</w:t>
      </w:r>
      <w:r w:rsidR="0040780B" w:rsidRPr="003951ED">
        <w:rPr>
          <w:lang w:eastAsia="el-GR"/>
        </w:rPr>
        <w:t xml:space="preserve"> βαθμός στον οποίο οι δράσεις συνέβαλαν στην επίτευξη των μαθησιακών στόχων, όπως εκτιμήθηκε από </w:t>
      </w:r>
      <w:r w:rsidR="00002672" w:rsidRPr="00DF457A">
        <w:rPr>
          <w:color w:val="FF0000"/>
          <w:lang w:eastAsia="el-GR"/>
        </w:rPr>
        <w:t>τους</w:t>
      </w:r>
      <w:r w:rsidR="0040780B" w:rsidRPr="00DF457A">
        <w:rPr>
          <w:color w:val="FF0000"/>
          <w:lang w:eastAsia="el-GR"/>
        </w:rPr>
        <w:t xml:space="preserve"> συμμετέχοντες </w:t>
      </w:r>
      <w:r w:rsidR="0040780B" w:rsidRPr="003951ED">
        <w:rPr>
          <w:lang w:eastAsia="el-GR"/>
        </w:rPr>
        <w:t>εκπαιδευτικούς.</w:t>
      </w:r>
    </w:p>
    <w:p w14:paraId="6C97F160" w14:textId="77777777" w:rsidR="00B55531" w:rsidRPr="002E2DDC" w:rsidRDefault="00B55531" w:rsidP="001C71B7">
      <w:pPr>
        <w:spacing w:before="240" w:after="0" w:line="240" w:lineRule="auto"/>
        <w:ind w:firstLine="284"/>
        <w:jc w:val="both"/>
        <w:rPr>
          <w:b/>
          <w:lang w:eastAsia="el-GR"/>
        </w:rPr>
      </w:pPr>
      <w:r w:rsidRPr="002E2DDC">
        <w:rPr>
          <w:b/>
          <w:lang w:eastAsia="el-GR"/>
        </w:rPr>
        <w:t>Αποτελέσματα</w:t>
      </w:r>
      <w:r w:rsidR="00004EC3" w:rsidRPr="002E2DDC">
        <w:rPr>
          <w:b/>
          <w:lang w:eastAsia="el-GR"/>
        </w:rPr>
        <w:t xml:space="preserve"> της έρευνας</w:t>
      </w:r>
    </w:p>
    <w:p w14:paraId="1C13CE96" w14:textId="1B215393" w:rsidR="00B55531" w:rsidRPr="003951ED" w:rsidRDefault="00B55531" w:rsidP="001C71B7">
      <w:pPr>
        <w:spacing w:after="0" w:line="240" w:lineRule="auto"/>
        <w:ind w:firstLine="284"/>
        <w:jc w:val="both"/>
        <w:rPr>
          <w:lang w:eastAsia="el-GR"/>
        </w:rPr>
      </w:pPr>
      <w:r w:rsidRPr="003951ED">
        <w:rPr>
          <w:lang w:eastAsia="el-GR"/>
        </w:rPr>
        <w:t xml:space="preserve">Η παρούσα ενότητα παρουσιάζει τα ευρήματα της έρευνας, τα οποία προέκυψαν από την ανάλυση των ποσοτικών και ποιοτικών δεδομένων. Η παρουσίαση οργανώνεται σε δύο </w:t>
      </w:r>
      <w:proofErr w:type="spellStart"/>
      <w:r w:rsidRPr="003951ED">
        <w:rPr>
          <w:lang w:eastAsia="el-GR"/>
        </w:rPr>
        <w:t>υποενότητες</w:t>
      </w:r>
      <w:proofErr w:type="spellEnd"/>
      <w:r w:rsidRPr="003951ED">
        <w:rPr>
          <w:lang w:eastAsia="el-GR"/>
        </w:rPr>
        <w:t xml:space="preserve">: ποσοτική </w:t>
      </w:r>
      <w:r w:rsidR="00002672" w:rsidRPr="003951ED">
        <w:rPr>
          <w:lang w:eastAsia="el-GR"/>
        </w:rPr>
        <w:t xml:space="preserve">και ποιοτική </w:t>
      </w:r>
      <w:r w:rsidRPr="003951ED">
        <w:rPr>
          <w:lang w:eastAsia="el-GR"/>
        </w:rPr>
        <w:t>ανάλυση.</w:t>
      </w:r>
    </w:p>
    <w:p w14:paraId="3EE91ABF" w14:textId="77777777" w:rsidR="00B55531" w:rsidRPr="003951ED" w:rsidRDefault="00B55531" w:rsidP="001C71B7">
      <w:pPr>
        <w:spacing w:before="240" w:after="0" w:line="240" w:lineRule="auto"/>
        <w:ind w:firstLine="284"/>
        <w:jc w:val="both"/>
        <w:rPr>
          <w:i/>
          <w:lang w:eastAsia="el-GR"/>
        </w:rPr>
      </w:pPr>
      <w:r w:rsidRPr="003951ED">
        <w:rPr>
          <w:i/>
          <w:lang w:eastAsia="el-GR"/>
        </w:rPr>
        <w:t>Ποσοτική ανάλυση δεδομένων</w:t>
      </w:r>
    </w:p>
    <w:p w14:paraId="0FB3EB74" w14:textId="77777777" w:rsidR="00B55531" w:rsidRPr="003951ED" w:rsidRDefault="00B55531" w:rsidP="001C71B7">
      <w:pPr>
        <w:spacing w:after="0" w:line="240" w:lineRule="auto"/>
        <w:ind w:firstLine="284"/>
        <w:jc w:val="both"/>
        <w:rPr>
          <w:lang w:eastAsia="el-GR"/>
        </w:rPr>
      </w:pPr>
      <w:r w:rsidRPr="003951ED">
        <w:rPr>
          <w:lang w:eastAsia="el-GR"/>
        </w:rPr>
        <w:t>Η ποσοτική ανάλυση βασίστηκε στις απαντήσεις των 17 εκπαιδευτικών στο ερωτηματολόγιο. Τα αποτελέσματα αποτυπώνουν τις στάσεις και τις αντιλήψεις τους σχετικά με την αποτελεσματικότητα των δράσεων.</w:t>
      </w:r>
    </w:p>
    <w:p w14:paraId="045C815C" w14:textId="77777777" w:rsidR="00B55531" w:rsidRPr="003951ED" w:rsidRDefault="00B55531" w:rsidP="006F56A8">
      <w:pPr>
        <w:spacing w:before="240" w:after="0" w:line="240" w:lineRule="auto"/>
        <w:ind w:firstLine="284"/>
        <w:jc w:val="both"/>
        <w:rPr>
          <w:i/>
          <w:lang w:eastAsia="el-GR"/>
        </w:rPr>
      </w:pPr>
      <w:r w:rsidRPr="003951ED">
        <w:rPr>
          <w:i/>
          <w:lang w:eastAsia="el-GR"/>
        </w:rPr>
        <w:t>Συνολική αποτίμηση δράσεων</w:t>
      </w:r>
    </w:p>
    <w:p w14:paraId="6BDB4D15" w14:textId="190BECFB" w:rsidR="00B55531" w:rsidRPr="003951ED" w:rsidRDefault="00B55531" w:rsidP="006F56A8">
      <w:pPr>
        <w:spacing w:after="0" w:line="240" w:lineRule="auto"/>
        <w:ind w:firstLine="284"/>
        <w:jc w:val="both"/>
        <w:rPr>
          <w:lang w:eastAsia="el-GR"/>
        </w:rPr>
      </w:pPr>
      <w:r w:rsidRPr="003951ED">
        <w:rPr>
          <w:lang w:eastAsia="el-GR"/>
        </w:rPr>
        <w:lastRenderedPageBreak/>
        <w:t xml:space="preserve">Οι </w:t>
      </w:r>
      <w:r w:rsidRPr="00DF457A">
        <w:rPr>
          <w:color w:val="FF0000"/>
          <w:lang w:eastAsia="el-GR"/>
        </w:rPr>
        <w:t xml:space="preserve">συμμετέχοντες </w:t>
      </w:r>
      <w:r w:rsidRPr="003951ED">
        <w:rPr>
          <w:lang w:eastAsia="el-GR"/>
        </w:rPr>
        <w:t>κλήθηκαν να αξιολογήσουν συνολικά τις δράσεις.</w:t>
      </w:r>
    </w:p>
    <w:p w14:paraId="57291457" w14:textId="77777777" w:rsidR="00B55531" w:rsidRPr="006F56A8" w:rsidRDefault="00B55531" w:rsidP="006F56A8">
      <w:pPr>
        <w:spacing w:before="240" w:after="0" w:line="240" w:lineRule="auto"/>
        <w:ind w:firstLine="284"/>
        <w:jc w:val="center"/>
        <w:rPr>
          <w:b/>
          <w:lang w:eastAsia="el-GR"/>
        </w:rPr>
      </w:pPr>
      <w:r w:rsidRPr="006F56A8">
        <w:rPr>
          <w:b/>
          <w:lang w:eastAsia="el-GR"/>
        </w:rPr>
        <w:t xml:space="preserve">Πίνακας </w:t>
      </w:r>
      <w:r w:rsidR="00DB3E5E">
        <w:rPr>
          <w:b/>
          <w:lang w:eastAsia="el-GR"/>
        </w:rPr>
        <w:t>3</w:t>
      </w:r>
      <w:r w:rsidRPr="006F56A8">
        <w:rPr>
          <w:b/>
          <w:lang w:eastAsia="el-GR"/>
        </w:rPr>
        <w:t>. Συνολική αξιολόγηση δράσεων (Ν=17)</w:t>
      </w:r>
    </w:p>
    <w:tbl>
      <w:tblPr>
        <w:tblStyle w:val="20"/>
        <w:tblW w:w="6662" w:type="dxa"/>
        <w:jc w:val="center"/>
        <w:tblLook w:val="04A0" w:firstRow="1" w:lastRow="0" w:firstColumn="1" w:lastColumn="0" w:noHBand="0" w:noVBand="1"/>
      </w:tblPr>
      <w:tblGrid>
        <w:gridCol w:w="2268"/>
        <w:gridCol w:w="2414"/>
        <w:gridCol w:w="1980"/>
      </w:tblGrid>
      <w:tr w:rsidR="00B55531" w:rsidRPr="003951ED" w14:paraId="74C4B635" w14:textId="77777777" w:rsidTr="006E48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auto"/>
              <w:bottom w:val="single" w:sz="4" w:space="0" w:color="auto"/>
            </w:tcBorders>
            <w:hideMark/>
          </w:tcPr>
          <w:p w14:paraId="5DFE353B" w14:textId="77777777" w:rsidR="00B55531" w:rsidRPr="003951ED" w:rsidRDefault="00B55531" w:rsidP="007439EE">
            <w:pPr>
              <w:ind w:firstLine="284"/>
              <w:jc w:val="center"/>
              <w:rPr>
                <w:lang w:eastAsia="el-GR"/>
              </w:rPr>
            </w:pPr>
            <w:r w:rsidRPr="003951ED">
              <w:rPr>
                <w:lang w:eastAsia="el-GR"/>
              </w:rPr>
              <w:t>Κατηγορία</w:t>
            </w:r>
          </w:p>
        </w:tc>
        <w:tc>
          <w:tcPr>
            <w:tcW w:w="2414" w:type="dxa"/>
            <w:tcBorders>
              <w:top w:val="single" w:sz="8" w:space="0" w:color="auto"/>
              <w:bottom w:val="single" w:sz="4" w:space="0" w:color="auto"/>
            </w:tcBorders>
            <w:hideMark/>
          </w:tcPr>
          <w:p w14:paraId="7C4CFA49" w14:textId="77777777" w:rsidR="00B55531" w:rsidRPr="003951ED" w:rsidRDefault="00B55531" w:rsidP="007439EE">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3951ED">
              <w:rPr>
                <w:lang w:eastAsia="el-GR"/>
              </w:rPr>
              <w:t>Συχνότητα</w:t>
            </w:r>
          </w:p>
        </w:tc>
        <w:tc>
          <w:tcPr>
            <w:tcW w:w="1980" w:type="dxa"/>
            <w:tcBorders>
              <w:top w:val="single" w:sz="8" w:space="0" w:color="auto"/>
              <w:bottom w:val="single" w:sz="4" w:space="0" w:color="auto"/>
            </w:tcBorders>
            <w:hideMark/>
          </w:tcPr>
          <w:p w14:paraId="302ACB44" w14:textId="77777777" w:rsidR="00B55531" w:rsidRPr="003951ED" w:rsidRDefault="00B55531" w:rsidP="007439EE">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3951ED">
              <w:rPr>
                <w:lang w:eastAsia="el-GR"/>
              </w:rPr>
              <w:t>Ποσοστό</w:t>
            </w:r>
          </w:p>
        </w:tc>
      </w:tr>
      <w:tr w:rsidR="00B55531" w:rsidRPr="003951ED" w14:paraId="72DAB8FA" w14:textId="77777777" w:rsidTr="006E48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nil"/>
            </w:tcBorders>
            <w:hideMark/>
          </w:tcPr>
          <w:p w14:paraId="398F0C89" w14:textId="77777777" w:rsidR="00B55531" w:rsidRPr="003951ED" w:rsidRDefault="00B55531" w:rsidP="007439EE">
            <w:pPr>
              <w:ind w:firstLine="284"/>
              <w:jc w:val="center"/>
              <w:rPr>
                <w:lang w:eastAsia="el-GR"/>
              </w:rPr>
            </w:pPr>
            <w:r w:rsidRPr="003951ED">
              <w:rPr>
                <w:lang w:eastAsia="el-GR"/>
              </w:rPr>
              <w:t>Πάρα πολύ</w:t>
            </w:r>
          </w:p>
        </w:tc>
        <w:tc>
          <w:tcPr>
            <w:tcW w:w="2414" w:type="dxa"/>
            <w:tcBorders>
              <w:top w:val="single" w:sz="4" w:space="0" w:color="auto"/>
              <w:bottom w:val="nil"/>
            </w:tcBorders>
            <w:hideMark/>
          </w:tcPr>
          <w:p w14:paraId="3FE0B238" w14:textId="77777777" w:rsidR="00B55531" w:rsidRPr="003951ED" w:rsidRDefault="00B55531" w:rsidP="007439E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7</w:t>
            </w:r>
          </w:p>
        </w:tc>
        <w:tc>
          <w:tcPr>
            <w:tcW w:w="1980" w:type="dxa"/>
            <w:tcBorders>
              <w:top w:val="single" w:sz="4" w:space="0" w:color="auto"/>
              <w:bottom w:val="nil"/>
            </w:tcBorders>
            <w:hideMark/>
          </w:tcPr>
          <w:p w14:paraId="2A21EF01" w14:textId="77777777" w:rsidR="00B55531" w:rsidRPr="003951ED" w:rsidRDefault="00B55531" w:rsidP="007439E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41,2%</w:t>
            </w:r>
          </w:p>
        </w:tc>
      </w:tr>
      <w:tr w:rsidR="00B55531" w:rsidRPr="003951ED" w14:paraId="408E3501" w14:textId="77777777" w:rsidTr="006E48BC">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hideMark/>
          </w:tcPr>
          <w:p w14:paraId="4BF730D3" w14:textId="77777777" w:rsidR="00B55531" w:rsidRPr="003951ED" w:rsidRDefault="00B55531" w:rsidP="007439EE">
            <w:pPr>
              <w:ind w:firstLine="284"/>
              <w:jc w:val="center"/>
              <w:rPr>
                <w:lang w:eastAsia="el-GR"/>
              </w:rPr>
            </w:pPr>
            <w:r w:rsidRPr="003951ED">
              <w:rPr>
                <w:lang w:eastAsia="el-GR"/>
              </w:rPr>
              <w:t>Πολύ</w:t>
            </w:r>
          </w:p>
        </w:tc>
        <w:tc>
          <w:tcPr>
            <w:tcW w:w="2414" w:type="dxa"/>
            <w:tcBorders>
              <w:top w:val="nil"/>
              <w:bottom w:val="nil"/>
            </w:tcBorders>
            <w:hideMark/>
          </w:tcPr>
          <w:p w14:paraId="6518FEF8" w14:textId="77777777" w:rsidR="00B55531" w:rsidRPr="003951ED" w:rsidRDefault="00B55531" w:rsidP="007439E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8</w:t>
            </w:r>
          </w:p>
        </w:tc>
        <w:tc>
          <w:tcPr>
            <w:tcW w:w="1980" w:type="dxa"/>
            <w:tcBorders>
              <w:top w:val="nil"/>
              <w:bottom w:val="nil"/>
            </w:tcBorders>
            <w:hideMark/>
          </w:tcPr>
          <w:p w14:paraId="0AFA54A7" w14:textId="77777777" w:rsidR="00B55531" w:rsidRPr="003951ED" w:rsidRDefault="00B55531" w:rsidP="007439E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47,1%</w:t>
            </w:r>
          </w:p>
        </w:tc>
      </w:tr>
      <w:tr w:rsidR="00B55531" w:rsidRPr="003951ED" w14:paraId="35EF4AE3" w14:textId="77777777" w:rsidTr="006E48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hideMark/>
          </w:tcPr>
          <w:p w14:paraId="2A9432E5" w14:textId="77777777" w:rsidR="00B55531" w:rsidRPr="003951ED" w:rsidRDefault="00B55531" w:rsidP="007439EE">
            <w:pPr>
              <w:ind w:firstLine="284"/>
              <w:jc w:val="center"/>
              <w:rPr>
                <w:lang w:eastAsia="el-GR"/>
              </w:rPr>
            </w:pPr>
            <w:r w:rsidRPr="003951ED">
              <w:rPr>
                <w:lang w:eastAsia="el-GR"/>
              </w:rPr>
              <w:t>Μέτρια</w:t>
            </w:r>
          </w:p>
        </w:tc>
        <w:tc>
          <w:tcPr>
            <w:tcW w:w="2414" w:type="dxa"/>
            <w:tcBorders>
              <w:top w:val="nil"/>
              <w:bottom w:val="nil"/>
            </w:tcBorders>
            <w:hideMark/>
          </w:tcPr>
          <w:p w14:paraId="12713244" w14:textId="77777777" w:rsidR="00B55531" w:rsidRPr="003951ED" w:rsidRDefault="00B55531" w:rsidP="007439E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2</w:t>
            </w:r>
          </w:p>
        </w:tc>
        <w:tc>
          <w:tcPr>
            <w:tcW w:w="1980" w:type="dxa"/>
            <w:tcBorders>
              <w:top w:val="nil"/>
              <w:bottom w:val="nil"/>
            </w:tcBorders>
            <w:hideMark/>
          </w:tcPr>
          <w:p w14:paraId="1BA22196" w14:textId="77777777" w:rsidR="00B55531" w:rsidRPr="003951ED" w:rsidRDefault="00B55531" w:rsidP="007439E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11,7%</w:t>
            </w:r>
          </w:p>
        </w:tc>
      </w:tr>
      <w:tr w:rsidR="00B55531" w:rsidRPr="003951ED" w14:paraId="05868E5D" w14:textId="77777777" w:rsidTr="006E48BC">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hideMark/>
          </w:tcPr>
          <w:p w14:paraId="3818C6AC" w14:textId="77777777" w:rsidR="00B55531" w:rsidRPr="003951ED" w:rsidRDefault="00B55531" w:rsidP="007439EE">
            <w:pPr>
              <w:ind w:firstLine="284"/>
              <w:jc w:val="center"/>
              <w:rPr>
                <w:lang w:eastAsia="el-GR"/>
              </w:rPr>
            </w:pPr>
            <w:r w:rsidRPr="003951ED">
              <w:rPr>
                <w:lang w:eastAsia="el-GR"/>
              </w:rPr>
              <w:t>Λίγο</w:t>
            </w:r>
          </w:p>
        </w:tc>
        <w:tc>
          <w:tcPr>
            <w:tcW w:w="2414" w:type="dxa"/>
            <w:tcBorders>
              <w:top w:val="nil"/>
              <w:bottom w:val="nil"/>
            </w:tcBorders>
            <w:hideMark/>
          </w:tcPr>
          <w:p w14:paraId="298A9704" w14:textId="77777777" w:rsidR="00B55531" w:rsidRPr="003951ED" w:rsidRDefault="00B55531" w:rsidP="007439E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0</w:t>
            </w:r>
          </w:p>
        </w:tc>
        <w:tc>
          <w:tcPr>
            <w:tcW w:w="1980" w:type="dxa"/>
            <w:tcBorders>
              <w:top w:val="nil"/>
              <w:bottom w:val="nil"/>
            </w:tcBorders>
            <w:hideMark/>
          </w:tcPr>
          <w:p w14:paraId="44D048D3" w14:textId="77777777" w:rsidR="00B55531" w:rsidRPr="003951ED" w:rsidRDefault="00B55531" w:rsidP="007439EE">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0%</w:t>
            </w:r>
          </w:p>
        </w:tc>
      </w:tr>
      <w:tr w:rsidR="00B55531" w:rsidRPr="003951ED" w14:paraId="28847045" w14:textId="77777777" w:rsidTr="006E48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8" w:space="0" w:color="auto"/>
            </w:tcBorders>
            <w:hideMark/>
          </w:tcPr>
          <w:p w14:paraId="161032BF" w14:textId="77777777" w:rsidR="00B55531" w:rsidRPr="003951ED" w:rsidRDefault="00B55531" w:rsidP="007439EE">
            <w:pPr>
              <w:ind w:firstLine="284"/>
              <w:jc w:val="center"/>
              <w:rPr>
                <w:lang w:eastAsia="el-GR"/>
              </w:rPr>
            </w:pPr>
            <w:r w:rsidRPr="003951ED">
              <w:rPr>
                <w:lang w:eastAsia="el-GR"/>
              </w:rPr>
              <w:t>Καθόλου</w:t>
            </w:r>
          </w:p>
        </w:tc>
        <w:tc>
          <w:tcPr>
            <w:tcW w:w="2414" w:type="dxa"/>
            <w:tcBorders>
              <w:top w:val="nil"/>
              <w:bottom w:val="single" w:sz="8" w:space="0" w:color="auto"/>
            </w:tcBorders>
            <w:hideMark/>
          </w:tcPr>
          <w:p w14:paraId="06777C44" w14:textId="77777777" w:rsidR="00B55531" w:rsidRPr="003951ED" w:rsidRDefault="00B55531" w:rsidP="007439E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0</w:t>
            </w:r>
          </w:p>
        </w:tc>
        <w:tc>
          <w:tcPr>
            <w:tcW w:w="1980" w:type="dxa"/>
            <w:tcBorders>
              <w:top w:val="nil"/>
              <w:bottom w:val="single" w:sz="8" w:space="0" w:color="auto"/>
            </w:tcBorders>
            <w:hideMark/>
          </w:tcPr>
          <w:p w14:paraId="30E6FCFE" w14:textId="77777777" w:rsidR="00B55531" w:rsidRPr="003951ED" w:rsidRDefault="00B55531" w:rsidP="007439EE">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0%</w:t>
            </w:r>
          </w:p>
        </w:tc>
      </w:tr>
    </w:tbl>
    <w:p w14:paraId="7BD3D24B" w14:textId="77777777" w:rsidR="00B55531" w:rsidRPr="003951ED" w:rsidRDefault="00B55531" w:rsidP="00850B3B">
      <w:pPr>
        <w:spacing w:before="240" w:after="0" w:line="240" w:lineRule="auto"/>
        <w:ind w:firstLine="284"/>
        <w:jc w:val="both"/>
        <w:rPr>
          <w:lang w:eastAsia="el-GR"/>
        </w:rPr>
      </w:pPr>
      <w:r w:rsidRPr="003951ED">
        <w:rPr>
          <w:lang w:eastAsia="el-GR"/>
        </w:rPr>
        <w:t>Τα αποτελέσματα</w:t>
      </w:r>
      <w:r w:rsidR="003C665E">
        <w:rPr>
          <w:lang w:eastAsia="el-GR"/>
        </w:rPr>
        <w:t xml:space="preserve"> που συγκεντρώθηκαν στον Πίνακα </w:t>
      </w:r>
      <w:r w:rsidR="00DB3E5E">
        <w:rPr>
          <w:lang w:eastAsia="el-GR"/>
        </w:rPr>
        <w:t>3</w:t>
      </w:r>
      <w:r w:rsidRPr="003951ED">
        <w:rPr>
          <w:lang w:eastAsia="el-GR"/>
        </w:rPr>
        <w:t xml:space="preserve"> δείχνουν ότι η συντριπτική πλειονότητα των εκπαιδευτικών (88,3%) αξιολόγησε τις δράσεις ως «πολύ» ή «πάρα πολύ» αποτελεσματικές. Το εύρημα αυτό </w:t>
      </w:r>
      <w:r w:rsidR="00535D73">
        <w:rPr>
          <w:lang w:eastAsia="el-GR"/>
        </w:rPr>
        <w:t xml:space="preserve">καταδεικνύει </w:t>
      </w:r>
      <w:r w:rsidRPr="003951ED">
        <w:rPr>
          <w:lang w:eastAsia="el-GR"/>
        </w:rPr>
        <w:t>υψηλό βαθμό αποδοχής και επιβεβαιώνει τη θετική συμβολή των δράσεων στη μαθησιακή διαδικασία.</w:t>
      </w:r>
    </w:p>
    <w:p w14:paraId="08376F2D" w14:textId="77777777" w:rsidR="00B55531" w:rsidRPr="003951ED" w:rsidRDefault="00B55531" w:rsidP="00850B3B">
      <w:pPr>
        <w:spacing w:before="240" w:after="0" w:line="240" w:lineRule="auto"/>
        <w:ind w:firstLine="284"/>
        <w:jc w:val="both"/>
        <w:rPr>
          <w:i/>
          <w:lang w:eastAsia="el-GR"/>
        </w:rPr>
      </w:pPr>
      <w:r w:rsidRPr="003951ED">
        <w:rPr>
          <w:i/>
          <w:lang w:eastAsia="el-GR"/>
        </w:rPr>
        <w:t>Συμβολή των δράσεων στη μαθητική συμμετοχή</w:t>
      </w:r>
    </w:p>
    <w:p w14:paraId="51B0C26D" w14:textId="5A78C97D" w:rsidR="00B55531" w:rsidRPr="006F56A8" w:rsidRDefault="00B55531" w:rsidP="006F56A8">
      <w:pPr>
        <w:spacing w:before="240" w:after="0" w:line="240" w:lineRule="auto"/>
        <w:ind w:firstLine="284"/>
        <w:jc w:val="center"/>
        <w:rPr>
          <w:b/>
          <w:lang w:eastAsia="el-GR"/>
        </w:rPr>
      </w:pPr>
      <w:r w:rsidRPr="006F56A8">
        <w:rPr>
          <w:b/>
          <w:lang w:eastAsia="el-GR"/>
        </w:rPr>
        <w:t xml:space="preserve">Πίνακας </w:t>
      </w:r>
      <w:r w:rsidR="00DB3E5E">
        <w:rPr>
          <w:b/>
          <w:lang w:eastAsia="el-GR"/>
        </w:rPr>
        <w:t>4</w:t>
      </w:r>
      <w:r w:rsidRPr="006F56A8">
        <w:rPr>
          <w:b/>
          <w:lang w:eastAsia="el-GR"/>
        </w:rPr>
        <w:t>. Επίδραση στη συμμετοχή των μαθητών</w:t>
      </w:r>
      <w:r w:rsidR="00002672">
        <w:rPr>
          <w:b/>
          <w:lang w:eastAsia="el-GR"/>
        </w:rPr>
        <w:t>/τριών</w:t>
      </w:r>
    </w:p>
    <w:tbl>
      <w:tblPr>
        <w:tblStyle w:val="20"/>
        <w:tblW w:w="6662" w:type="dxa"/>
        <w:jc w:val="center"/>
        <w:tblLook w:val="04A0" w:firstRow="1" w:lastRow="0" w:firstColumn="1" w:lastColumn="0" w:noHBand="0" w:noVBand="1"/>
      </w:tblPr>
      <w:tblGrid>
        <w:gridCol w:w="2410"/>
        <w:gridCol w:w="2272"/>
        <w:gridCol w:w="1980"/>
      </w:tblGrid>
      <w:tr w:rsidR="00B55531" w:rsidRPr="003951ED" w14:paraId="689AF826" w14:textId="77777777" w:rsidTr="006E48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8" w:space="0" w:color="auto"/>
              <w:bottom w:val="single" w:sz="4" w:space="0" w:color="auto"/>
            </w:tcBorders>
            <w:hideMark/>
          </w:tcPr>
          <w:p w14:paraId="051FA877" w14:textId="77777777" w:rsidR="00B55531" w:rsidRPr="003951ED" w:rsidRDefault="00B55531" w:rsidP="005956E1">
            <w:pPr>
              <w:ind w:firstLine="284"/>
              <w:jc w:val="center"/>
              <w:rPr>
                <w:lang w:eastAsia="el-GR"/>
              </w:rPr>
            </w:pPr>
            <w:r w:rsidRPr="003951ED">
              <w:rPr>
                <w:lang w:eastAsia="el-GR"/>
              </w:rPr>
              <w:t>Κατηγορία</w:t>
            </w:r>
          </w:p>
        </w:tc>
        <w:tc>
          <w:tcPr>
            <w:tcW w:w="2272" w:type="dxa"/>
            <w:tcBorders>
              <w:top w:val="single" w:sz="8" w:space="0" w:color="auto"/>
              <w:bottom w:val="single" w:sz="4" w:space="0" w:color="auto"/>
            </w:tcBorders>
            <w:hideMark/>
          </w:tcPr>
          <w:p w14:paraId="2A8EA10B" w14:textId="77777777" w:rsidR="00B55531" w:rsidRPr="003951ED" w:rsidRDefault="00B55531" w:rsidP="005956E1">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3951ED">
              <w:rPr>
                <w:lang w:eastAsia="el-GR"/>
              </w:rPr>
              <w:t>Συχνότητα</w:t>
            </w:r>
          </w:p>
        </w:tc>
        <w:tc>
          <w:tcPr>
            <w:tcW w:w="1980" w:type="dxa"/>
            <w:tcBorders>
              <w:top w:val="single" w:sz="8" w:space="0" w:color="auto"/>
              <w:bottom w:val="single" w:sz="4" w:space="0" w:color="auto"/>
            </w:tcBorders>
            <w:hideMark/>
          </w:tcPr>
          <w:p w14:paraId="3CC4E53C" w14:textId="77777777" w:rsidR="00B55531" w:rsidRPr="003951ED" w:rsidRDefault="00B55531" w:rsidP="005956E1">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3951ED">
              <w:rPr>
                <w:lang w:eastAsia="el-GR"/>
              </w:rPr>
              <w:t>Ποσοστό</w:t>
            </w:r>
          </w:p>
        </w:tc>
      </w:tr>
      <w:tr w:rsidR="00B55531" w:rsidRPr="003951ED" w14:paraId="6306DB97" w14:textId="77777777" w:rsidTr="006E48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il"/>
            </w:tcBorders>
            <w:hideMark/>
          </w:tcPr>
          <w:p w14:paraId="1C2EC357" w14:textId="77777777" w:rsidR="00B55531" w:rsidRPr="003951ED" w:rsidRDefault="00B55531" w:rsidP="005956E1">
            <w:pPr>
              <w:ind w:firstLine="284"/>
              <w:jc w:val="center"/>
              <w:rPr>
                <w:lang w:eastAsia="el-GR"/>
              </w:rPr>
            </w:pPr>
            <w:r w:rsidRPr="003951ED">
              <w:rPr>
                <w:lang w:eastAsia="el-GR"/>
              </w:rPr>
              <w:t>Πάρα πολύ</w:t>
            </w:r>
          </w:p>
        </w:tc>
        <w:tc>
          <w:tcPr>
            <w:tcW w:w="2272" w:type="dxa"/>
            <w:tcBorders>
              <w:top w:val="single" w:sz="4" w:space="0" w:color="auto"/>
              <w:bottom w:val="nil"/>
            </w:tcBorders>
            <w:hideMark/>
          </w:tcPr>
          <w:p w14:paraId="4908ABE8"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8</w:t>
            </w:r>
          </w:p>
        </w:tc>
        <w:tc>
          <w:tcPr>
            <w:tcW w:w="1980" w:type="dxa"/>
            <w:tcBorders>
              <w:top w:val="single" w:sz="4" w:space="0" w:color="auto"/>
              <w:bottom w:val="nil"/>
            </w:tcBorders>
            <w:hideMark/>
          </w:tcPr>
          <w:p w14:paraId="6CB7D22C"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47,1%</w:t>
            </w:r>
          </w:p>
        </w:tc>
      </w:tr>
      <w:tr w:rsidR="00B55531" w:rsidRPr="003951ED" w14:paraId="57F68FB1" w14:textId="77777777" w:rsidTr="006E48BC">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hideMark/>
          </w:tcPr>
          <w:p w14:paraId="19232891" w14:textId="77777777" w:rsidR="00B55531" w:rsidRPr="003951ED" w:rsidRDefault="00B55531" w:rsidP="005956E1">
            <w:pPr>
              <w:ind w:firstLine="284"/>
              <w:jc w:val="center"/>
              <w:rPr>
                <w:lang w:eastAsia="el-GR"/>
              </w:rPr>
            </w:pPr>
            <w:r w:rsidRPr="003951ED">
              <w:rPr>
                <w:lang w:eastAsia="el-GR"/>
              </w:rPr>
              <w:t>Πολύ</w:t>
            </w:r>
          </w:p>
        </w:tc>
        <w:tc>
          <w:tcPr>
            <w:tcW w:w="2272" w:type="dxa"/>
            <w:tcBorders>
              <w:top w:val="nil"/>
              <w:bottom w:val="nil"/>
            </w:tcBorders>
            <w:hideMark/>
          </w:tcPr>
          <w:p w14:paraId="74D80E0D" w14:textId="77777777" w:rsidR="00B55531" w:rsidRPr="003951ED" w:rsidRDefault="00B55531" w:rsidP="005956E1">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7</w:t>
            </w:r>
          </w:p>
        </w:tc>
        <w:tc>
          <w:tcPr>
            <w:tcW w:w="1980" w:type="dxa"/>
            <w:tcBorders>
              <w:top w:val="nil"/>
              <w:bottom w:val="nil"/>
            </w:tcBorders>
            <w:hideMark/>
          </w:tcPr>
          <w:p w14:paraId="1F9FFE96" w14:textId="77777777" w:rsidR="00B55531" w:rsidRPr="003951ED" w:rsidRDefault="00B55531" w:rsidP="005956E1">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41,2%</w:t>
            </w:r>
          </w:p>
        </w:tc>
      </w:tr>
      <w:tr w:rsidR="00B55531" w:rsidRPr="003951ED" w14:paraId="68A90AB1" w14:textId="77777777" w:rsidTr="006E48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8" w:space="0" w:color="auto"/>
            </w:tcBorders>
            <w:hideMark/>
          </w:tcPr>
          <w:p w14:paraId="28F352EB" w14:textId="77777777" w:rsidR="00B55531" w:rsidRPr="003951ED" w:rsidRDefault="00B55531" w:rsidP="005956E1">
            <w:pPr>
              <w:ind w:firstLine="284"/>
              <w:jc w:val="center"/>
              <w:rPr>
                <w:lang w:eastAsia="el-GR"/>
              </w:rPr>
            </w:pPr>
            <w:r w:rsidRPr="003951ED">
              <w:rPr>
                <w:lang w:eastAsia="el-GR"/>
              </w:rPr>
              <w:t>Μέτρια</w:t>
            </w:r>
          </w:p>
        </w:tc>
        <w:tc>
          <w:tcPr>
            <w:tcW w:w="2272" w:type="dxa"/>
            <w:tcBorders>
              <w:top w:val="nil"/>
              <w:bottom w:val="single" w:sz="8" w:space="0" w:color="auto"/>
            </w:tcBorders>
            <w:hideMark/>
          </w:tcPr>
          <w:p w14:paraId="19C0BE24"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2</w:t>
            </w:r>
          </w:p>
        </w:tc>
        <w:tc>
          <w:tcPr>
            <w:tcW w:w="1980" w:type="dxa"/>
            <w:tcBorders>
              <w:top w:val="nil"/>
              <w:bottom w:val="single" w:sz="8" w:space="0" w:color="auto"/>
            </w:tcBorders>
            <w:hideMark/>
          </w:tcPr>
          <w:p w14:paraId="124B2A78"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11,7%</w:t>
            </w:r>
          </w:p>
        </w:tc>
      </w:tr>
    </w:tbl>
    <w:p w14:paraId="380C24FB" w14:textId="343C9C3C" w:rsidR="00B55531" w:rsidRPr="003951ED" w:rsidRDefault="003C665E" w:rsidP="00850B3B">
      <w:pPr>
        <w:spacing w:before="240" w:after="0" w:line="240" w:lineRule="auto"/>
        <w:ind w:firstLine="284"/>
        <w:jc w:val="both"/>
        <w:rPr>
          <w:lang w:eastAsia="el-GR"/>
        </w:rPr>
      </w:pPr>
      <w:r>
        <w:rPr>
          <w:lang w:eastAsia="el-GR"/>
        </w:rPr>
        <w:t xml:space="preserve">Σύμφωνα με τα αποτελέσματα στον Πίνακα </w:t>
      </w:r>
      <w:r w:rsidR="00DB3E5E">
        <w:rPr>
          <w:lang w:eastAsia="el-GR"/>
        </w:rPr>
        <w:t>4</w:t>
      </w:r>
      <w:r>
        <w:rPr>
          <w:lang w:eastAsia="el-GR"/>
        </w:rPr>
        <w:t>, η</w:t>
      </w:r>
      <w:r w:rsidR="00B55531" w:rsidRPr="003951ED">
        <w:rPr>
          <w:lang w:eastAsia="el-GR"/>
        </w:rPr>
        <w:t xml:space="preserve"> πλειονότητα των εκπαιδευτικών (88,3%) αναγνωρίζει σημαντική ενίσχυση της ενεργού συμμετοχής των μαθητών</w:t>
      </w:r>
      <w:r w:rsidR="00002672">
        <w:rPr>
          <w:lang w:eastAsia="el-GR"/>
        </w:rPr>
        <w:t>/τριών</w:t>
      </w:r>
      <w:r w:rsidR="00B55531" w:rsidRPr="003951ED">
        <w:rPr>
          <w:lang w:eastAsia="el-GR"/>
        </w:rPr>
        <w:t xml:space="preserve">. Το εύρημα αυτό συνδέεται άμεσα με τη βιωματική φύση των δράσεων, οι οποίες κινητοποιούν το ενδιαφέρον και ενισχύουν την εμπλοκή των </w:t>
      </w:r>
      <w:r w:rsidR="00B55531" w:rsidRPr="001B47AA">
        <w:rPr>
          <w:color w:val="FF0000"/>
          <w:lang w:eastAsia="el-GR"/>
        </w:rPr>
        <w:t>μαθητών</w:t>
      </w:r>
      <w:r w:rsidR="00B55531" w:rsidRPr="003951ED">
        <w:rPr>
          <w:lang w:eastAsia="el-GR"/>
        </w:rPr>
        <w:t>.</w:t>
      </w:r>
    </w:p>
    <w:p w14:paraId="44F3949D" w14:textId="77777777" w:rsidR="00B55531" w:rsidRPr="003951ED" w:rsidRDefault="00B55531" w:rsidP="00850B3B">
      <w:pPr>
        <w:spacing w:before="240" w:after="0" w:line="240" w:lineRule="auto"/>
        <w:ind w:firstLine="284"/>
        <w:jc w:val="both"/>
        <w:rPr>
          <w:i/>
          <w:lang w:eastAsia="el-GR"/>
        </w:rPr>
      </w:pPr>
      <w:r w:rsidRPr="003951ED">
        <w:rPr>
          <w:i/>
          <w:lang w:eastAsia="el-GR"/>
        </w:rPr>
        <w:t>Ανάπτυξη συνεργατικών δεξιοτήτων</w:t>
      </w:r>
    </w:p>
    <w:p w14:paraId="4F99264C" w14:textId="77777777" w:rsidR="00B55531" w:rsidRPr="006F56A8" w:rsidRDefault="00B55531" w:rsidP="006F56A8">
      <w:pPr>
        <w:spacing w:before="240" w:after="0" w:line="240" w:lineRule="auto"/>
        <w:ind w:firstLine="284"/>
        <w:jc w:val="center"/>
        <w:rPr>
          <w:b/>
          <w:lang w:eastAsia="el-GR"/>
        </w:rPr>
      </w:pPr>
      <w:r w:rsidRPr="006F56A8">
        <w:rPr>
          <w:b/>
          <w:lang w:eastAsia="el-GR"/>
        </w:rPr>
        <w:t xml:space="preserve">Πίνακας </w:t>
      </w:r>
      <w:r w:rsidR="00DB3E5E">
        <w:rPr>
          <w:b/>
          <w:lang w:eastAsia="el-GR"/>
        </w:rPr>
        <w:t>5</w:t>
      </w:r>
      <w:r w:rsidRPr="006F56A8">
        <w:rPr>
          <w:b/>
          <w:lang w:eastAsia="el-GR"/>
        </w:rPr>
        <w:t>. Συμβολή στην ανάπτυξη συνεργασίας</w:t>
      </w:r>
    </w:p>
    <w:tbl>
      <w:tblPr>
        <w:tblStyle w:val="20"/>
        <w:tblW w:w="6662" w:type="dxa"/>
        <w:jc w:val="center"/>
        <w:tblLook w:val="04A0" w:firstRow="1" w:lastRow="0" w:firstColumn="1" w:lastColumn="0" w:noHBand="0" w:noVBand="1"/>
      </w:tblPr>
      <w:tblGrid>
        <w:gridCol w:w="2552"/>
        <w:gridCol w:w="1988"/>
        <w:gridCol w:w="2122"/>
      </w:tblGrid>
      <w:tr w:rsidR="00B55531" w:rsidRPr="003951ED" w14:paraId="442185A9" w14:textId="77777777" w:rsidTr="00A65F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8" w:space="0" w:color="auto"/>
              <w:bottom w:val="single" w:sz="4" w:space="0" w:color="auto"/>
            </w:tcBorders>
            <w:hideMark/>
          </w:tcPr>
          <w:p w14:paraId="415F1497" w14:textId="77777777" w:rsidR="00B55531" w:rsidRPr="003951ED" w:rsidRDefault="00B55531" w:rsidP="005956E1">
            <w:pPr>
              <w:ind w:firstLine="284"/>
              <w:jc w:val="center"/>
              <w:rPr>
                <w:lang w:eastAsia="el-GR"/>
              </w:rPr>
            </w:pPr>
            <w:r w:rsidRPr="003951ED">
              <w:rPr>
                <w:lang w:eastAsia="el-GR"/>
              </w:rPr>
              <w:t>Κατηγορία</w:t>
            </w:r>
          </w:p>
        </w:tc>
        <w:tc>
          <w:tcPr>
            <w:tcW w:w="1988" w:type="dxa"/>
            <w:tcBorders>
              <w:top w:val="single" w:sz="8" w:space="0" w:color="auto"/>
              <w:bottom w:val="single" w:sz="4" w:space="0" w:color="auto"/>
            </w:tcBorders>
            <w:hideMark/>
          </w:tcPr>
          <w:p w14:paraId="77A5BCAB" w14:textId="77777777" w:rsidR="00B55531" w:rsidRPr="003951ED" w:rsidRDefault="00B55531" w:rsidP="005956E1">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3951ED">
              <w:rPr>
                <w:lang w:eastAsia="el-GR"/>
              </w:rPr>
              <w:t>Συχνότητα</w:t>
            </w:r>
          </w:p>
        </w:tc>
        <w:tc>
          <w:tcPr>
            <w:tcW w:w="2122" w:type="dxa"/>
            <w:tcBorders>
              <w:top w:val="single" w:sz="8" w:space="0" w:color="auto"/>
              <w:bottom w:val="single" w:sz="4" w:space="0" w:color="auto"/>
            </w:tcBorders>
            <w:hideMark/>
          </w:tcPr>
          <w:p w14:paraId="2C43E7D4" w14:textId="77777777" w:rsidR="00B55531" w:rsidRPr="003951ED" w:rsidRDefault="00B55531" w:rsidP="005956E1">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3951ED">
              <w:rPr>
                <w:lang w:eastAsia="el-GR"/>
              </w:rPr>
              <w:t>Ποσοστό</w:t>
            </w:r>
          </w:p>
        </w:tc>
      </w:tr>
      <w:tr w:rsidR="00B55531" w:rsidRPr="003951ED" w14:paraId="7BDDDAD3" w14:textId="77777777" w:rsidTr="00A65F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il"/>
            </w:tcBorders>
            <w:hideMark/>
          </w:tcPr>
          <w:p w14:paraId="55116F79" w14:textId="77777777" w:rsidR="00B55531" w:rsidRPr="003951ED" w:rsidRDefault="00B55531" w:rsidP="005956E1">
            <w:pPr>
              <w:ind w:firstLine="284"/>
              <w:jc w:val="center"/>
              <w:rPr>
                <w:lang w:eastAsia="el-GR"/>
              </w:rPr>
            </w:pPr>
            <w:r w:rsidRPr="003951ED">
              <w:rPr>
                <w:lang w:eastAsia="el-GR"/>
              </w:rPr>
              <w:t>Πάρα πολύ</w:t>
            </w:r>
          </w:p>
        </w:tc>
        <w:tc>
          <w:tcPr>
            <w:tcW w:w="1988" w:type="dxa"/>
            <w:tcBorders>
              <w:top w:val="single" w:sz="4" w:space="0" w:color="auto"/>
              <w:bottom w:val="nil"/>
            </w:tcBorders>
            <w:hideMark/>
          </w:tcPr>
          <w:p w14:paraId="18EE4EF3"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6</w:t>
            </w:r>
          </w:p>
        </w:tc>
        <w:tc>
          <w:tcPr>
            <w:tcW w:w="2122" w:type="dxa"/>
            <w:tcBorders>
              <w:top w:val="single" w:sz="4" w:space="0" w:color="auto"/>
              <w:bottom w:val="nil"/>
            </w:tcBorders>
            <w:hideMark/>
          </w:tcPr>
          <w:p w14:paraId="09577987"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35,3%</w:t>
            </w:r>
          </w:p>
        </w:tc>
      </w:tr>
      <w:tr w:rsidR="00B55531" w:rsidRPr="003951ED" w14:paraId="0DD0CE43" w14:textId="77777777" w:rsidTr="00A65F3A">
        <w:trPr>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hideMark/>
          </w:tcPr>
          <w:p w14:paraId="0920C5FE" w14:textId="77777777" w:rsidR="00B55531" w:rsidRPr="003951ED" w:rsidRDefault="00B55531" w:rsidP="005956E1">
            <w:pPr>
              <w:ind w:firstLine="284"/>
              <w:jc w:val="center"/>
              <w:rPr>
                <w:lang w:eastAsia="el-GR"/>
              </w:rPr>
            </w:pPr>
            <w:r w:rsidRPr="003951ED">
              <w:rPr>
                <w:lang w:eastAsia="el-GR"/>
              </w:rPr>
              <w:t>Πολύ</w:t>
            </w:r>
          </w:p>
        </w:tc>
        <w:tc>
          <w:tcPr>
            <w:tcW w:w="1988" w:type="dxa"/>
            <w:tcBorders>
              <w:top w:val="nil"/>
              <w:bottom w:val="nil"/>
            </w:tcBorders>
            <w:hideMark/>
          </w:tcPr>
          <w:p w14:paraId="49586622" w14:textId="77777777" w:rsidR="00B55531" w:rsidRPr="003951ED" w:rsidRDefault="00B55531" w:rsidP="005956E1">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9</w:t>
            </w:r>
          </w:p>
        </w:tc>
        <w:tc>
          <w:tcPr>
            <w:tcW w:w="2122" w:type="dxa"/>
            <w:tcBorders>
              <w:top w:val="nil"/>
              <w:bottom w:val="nil"/>
            </w:tcBorders>
            <w:hideMark/>
          </w:tcPr>
          <w:p w14:paraId="5F52FD6B" w14:textId="77777777" w:rsidR="00B55531" w:rsidRPr="003951ED" w:rsidRDefault="00B55531" w:rsidP="005956E1">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52,9%</w:t>
            </w:r>
          </w:p>
        </w:tc>
      </w:tr>
      <w:tr w:rsidR="00B55531" w:rsidRPr="003951ED" w14:paraId="2CDD72D5" w14:textId="77777777" w:rsidTr="00A65F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8" w:space="0" w:color="auto"/>
            </w:tcBorders>
            <w:hideMark/>
          </w:tcPr>
          <w:p w14:paraId="1E859265" w14:textId="77777777" w:rsidR="00B55531" w:rsidRPr="003951ED" w:rsidRDefault="00B55531" w:rsidP="005956E1">
            <w:pPr>
              <w:ind w:firstLine="284"/>
              <w:jc w:val="center"/>
              <w:rPr>
                <w:lang w:eastAsia="el-GR"/>
              </w:rPr>
            </w:pPr>
            <w:r w:rsidRPr="003951ED">
              <w:rPr>
                <w:lang w:eastAsia="el-GR"/>
              </w:rPr>
              <w:t>Μέτρια</w:t>
            </w:r>
          </w:p>
        </w:tc>
        <w:tc>
          <w:tcPr>
            <w:tcW w:w="1988" w:type="dxa"/>
            <w:tcBorders>
              <w:top w:val="nil"/>
              <w:bottom w:val="single" w:sz="8" w:space="0" w:color="auto"/>
            </w:tcBorders>
            <w:hideMark/>
          </w:tcPr>
          <w:p w14:paraId="054DED0F"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2</w:t>
            </w:r>
          </w:p>
        </w:tc>
        <w:tc>
          <w:tcPr>
            <w:tcW w:w="2122" w:type="dxa"/>
            <w:tcBorders>
              <w:top w:val="nil"/>
              <w:bottom w:val="single" w:sz="8" w:space="0" w:color="auto"/>
            </w:tcBorders>
            <w:hideMark/>
          </w:tcPr>
          <w:p w14:paraId="198C0D0D"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11,7%</w:t>
            </w:r>
          </w:p>
        </w:tc>
      </w:tr>
    </w:tbl>
    <w:p w14:paraId="468B1751" w14:textId="5851F03D" w:rsidR="00B55531" w:rsidRPr="003951ED" w:rsidRDefault="00B55531" w:rsidP="00850B3B">
      <w:pPr>
        <w:spacing w:before="240" w:after="0" w:line="240" w:lineRule="auto"/>
        <w:ind w:firstLine="284"/>
        <w:jc w:val="both"/>
        <w:rPr>
          <w:lang w:eastAsia="el-GR"/>
        </w:rPr>
      </w:pPr>
      <w:r w:rsidRPr="003951ED">
        <w:rPr>
          <w:lang w:eastAsia="el-GR"/>
        </w:rPr>
        <w:t xml:space="preserve">Τα </w:t>
      </w:r>
      <w:r w:rsidR="002E2DDC">
        <w:rPr>
          <w:lang w:eastAsia="el-GR"/>
        </w:rPr>
        <w:t>ευρήματα</w:t>
      </w:r>
      <w:r w:rsidR="00535D73">
        <w:rPr>
          <w:lang w:eastAsia="el-GR"/>
        </w:rPr>
        <w:t xml:space="preserve"> που εμπεριέχονται στον </w:t>
      </w:r>
      <w:r w:rsidR="003C665E">
        <w:rPr>
          <w:lang w:eastAsia="el-GR"/>
        </w:rPr>
        <w:t xml:space="preserve">Πίνακα </w:t>
      </w:r>
      <w:r w:rsidR="00DB3E5E">
        <w:rPr>
          <w:lang w:eastAsia="el-GR"/>
        </w:rPr>
        <w:t>5</w:t>
      </w:r>
      <w:r w:rsidR="003C665E">
        <w:rPr>
          <w:lang w:eastAsia="el-GR"/>
        </w:rPr>
        <w:t xml:space="preserve"> </w:t>
      </w:r>
      <w:r w:rsidRPr="003951ED">
        <w:rPr>
          <w:lang w:eastAsia="el-GR"/>
        </w:rPr>
        <w:t xml:space="preserve">καταδεικνύουν ότι οι δράσεις συνέβαλαν ουσιαστικά στην ανάπτυξη συνεργατικών δεξιοτήτων, καθώς το 88,2% των εκπαιδευτικών αξιολόγησε θετικά την επίδραση αυτή. Η </w:t>
      </w:r>
      <w:proofErr w:type="spellStart"/>
      <w:r w:rsidRPr="003951ED">
        <w:rPr>
          <w:lang w:eastAsia="el-GR"/>
        </w:rPr>
        <w:t>ομαδοσυνεργατική</w:t>
      </w:r>
      <w:proofErr w:type="spellEnd"/>
      <w:r w:rsidRPr="003951ED">
        <w:rPr>
          <w:lang w:eastAsia="el-GR"/>
        </w:rPr>
        <w:t xml:space="preserve"> φύση των δραστηριοτήτων φαίνεται να ενίσχυσε την κοινωνική αλληλεπίδραση μεταξύ των </w:t>
      </w:r>
      <w:r w:rsidRPr="001B47AA">
        <w:rPr>
          <w:color w:val="FF0000"/>
          <w:lang w:eastAsia="el-GR"/>
        </w:rPr>
        <w:t>μαθητών</w:t>
      </w:r>
      <w:r w:rsidRPr="003951ED">
        <w:rPr>
          <w:lang w:eastAsia="el-GR"/>
        </w:rPr>
        <w:t>.</w:t>
      </w:r>
    </w:p>
    <w:p w14:paraId="610A5245" w14:textId="77777777" w:rsidR="00B55531" w:rsidRPr="003951ED" w:rsidRDefault="00B55531" w:rsidP="00850B3B">
      <w:pPr>
        <w:spacing w:before="240" w:after="0" w:line="240" w:lineRule="auto"/>
        <w:ind w:firstLine="284"/>
        <w:jc w:val="both"/>
        <w:rPr>
          <w:i/>
          <w:lang w:eastAsia="el-GR"/>
        </w:rPr>
      </w:pPr>
      <w:r w:rsidRPr="003951ED">
        <w:rPr>
          <w:i/>
          <w:lang w:eastAsia="el-GR"/>
        </w:rPr>
        <w:t>Ενίσχυση δημιουργικότητας</w:t>
      </w:r>
    </w:p>
    <w:p w14:paraId="640304B8" w14:textId="77777777" w:rsidR="00B55531" w:rsidRPr="006F56A8" w:rsidRDefault="00B55531" w:rsidP="006F56A8">
      <w:pPr>
        <w:spacing w:before="240" w:after="0" w:line="240" w:lineRule="auto"/>
        <w:ind w:firstLine="284"/>
        <w:jc w:val="center"/>
        <w:rPr>
          <w:b/>
          <w:lang w:eastAsia="el-GR"/>
        </w:rPr>
      </w:pPr>
      <w:r w:rsidRPr="006F56A8">
        <w:rPr>
          <w:b/>
          <w:lang w:eastAsia="el-GR"/>
        </w:rPr>
        <w:t xml:space="preserve">Πίνακας </w:t>
      </w:r>
      <w:r w:rsidR="00DB3E5E">
        <w:rPr>
          <w:b/>
          <w:lang w:eastAsia="el-GR"/>
        </w:rPr>
        <w:t>6</w:t>
      </w:r>
      <w:r w:rsidRPr="006F56A8">
        <w:rPr>
          <w:b/>
          <w:lang w:eastAsia="el-GR"/>
        </w:rPr>
        <w:t>. Συμβολή στη δημιουργικότητα</w:t>
      </w:r>
    </w:p>
    <w:tbl>
      <w:tblPr>
        <w:tblStyle w:val="20"/>
        <w:tblW w:w="6662" w:type="dxa"/>
        <w:jc w:val="center"/>
        <w:tblBorders>
          <w:top w:val="single" w:sz="8" w:space="0" w:color="auto"/>
          <w:bottom w:val="single" w:sz="8" w:space="0" w:color="auto"/>
        </w:tblBorders>
        <w:tblLook w:val="04A0" w:firstRow="1" w:lastRow="0" w:firstColumn="1" w:lastColumn="0" w:noHBand="0" w:noVBand="1"/>
      </w:tblPr>
      <w:tblGrid>
        <w:gridCol w:w="2552"/>
        <w:gridCol w:w="2130"/>
        <w:gridCol w:w="1980"/>
      </w:tblGrid>
      <w:tr w:rsidR="00B55531" w:rsidRPr="003951ED" w14:paraId="6F04B371" w14:textId="77777777" w:rsidTr="00A776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hideMark/>
          </w:tcPr>
          <w:p w14:paraId="62D8F702" w14:textId="77777777" w:rsidR="00B55531" w:rsidRPr="003951ED" w:rsidRDefault="00B55531" w:rsidP="005956E1">
            <w:pPr>
              <w:ind w:firstLine="284"/>
              <w:jc w:val="center"/>
              <w:rPr>
                <w:lang w:eastAsia="el-GR"/>
              </w:rPr>
            </w:pPr>
            <w:r w:rsidRPr="003951ED">
              <w:rPr>
                <w:lang w:eastAsia="el-GR"/>
              </w:rPr>
              <w:t>Κατηγορία</w:t>
            </w:r>
          </w:p>
        </w:tc>
        <w:tc>
          <w:tcPr>
            <w:tcW w:w="2130" w:type="dxa"/>
            <w:tcBorders>
              <w:bottom w:val="single" w:sz="4" w:space="0" w:color="auto"/>
            </w:tcBorders>
            <w:hideMark/>
          </w:tcPr>
          <w:p w14:paraId="388904B5" w14:textId="77777777" w:rsidR="00B55531" w:rsidRPr="003951ED" w:rsidRDefault="00B55531" w:rsidP="005956E1">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3951ED">
              <w:rPr>
                <w:lang w:eastAsia="el-GR"/>
              </w:rPr>
              <w:t>Συχνότητα</w:t>
            </w:r>
          </w:p>
        </w:tc>
        <w:tc>
          <w:tcPr>
            <w:tcW w:w="1980" w:type="dxa"/>
            <w:tcBorders>
              <w:bottom w:val="single" w:sz="4" w:space="0" w:color="auto"/>
            </w:tcBorders>
            <w:hideMark/>
          </w:tcPr>
          <w:p w14:paraId="7B866CB1" w14:textId="77777777" w:rsidR="00B55531" w:rsidRPr="003951ED" w:rsidRDefault="00B55531" w:rsidP="005956E1">
            <w:pPr>
              <w:ind w:firstLine="284"/>
              <w:jc w:val="center"/>
              <w:cnfStyle w:val="100000000000" w:firstRow="1" w:lastRow="0" w:firstColumn="0" w:lastColumn="0" w:oddVBand="0" w:evenVBand="0" w:oddHBand="0" w:evenHBand="0" w:firstRowFirstColumn="0" w:firstRowLastColumn="0" w:lastRowFirstColumn="0" w:lastRowLastColumn="0"/>
              <w:rPr>
                <w:lang w:eastAsia="el-GR"/>
              </w:rPr>
            </w:pPr>
            <w:r w:rsidRPr="003951ED">
              <w:rPr>
                <w:lang w:eastAsia="el-GR"/>
              </w:rPr>
              <w:t>Ποσοστό</w:t>
            </w:r>
          </w:p>
        </w:tc>
      </w:tr>
      <w:tr w:rsidR="00B55531" w:rsidRPr="003951ED" w14:paraId="16AEF225" w14:textId="77777777" w:rsidTr="00A776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one" w:sz="0" w:space="0" w:color="auto"/>
            </w:tcBorders>
            <w:hideMark/>
          </w:tcPr>
          <w:p w14:paraId="2264DAAE" w14:textId="77777777" w:rsidR="00B55531" w:rsidRPr="003951ED" w:rsidRDefault="00B55531" w:rsidP="005956E1">
            <w:pPr>
              <w:ind w:firstLine="284"/>
              <w:jc w:val="center"/>
              <w:rPr>
                <w:lang w:eastAsia="el-GR"/>
              </w:rPr>
            </w:pPr>
            <w:r w:rsidRPr="003951ED">
              <w:rPr>
                <w:lang w:eastAsia="el-GR"/>
              </w:rPr>
              <w:t>Πάρα πολύ</w:t>
            </w:r>
          </w:p>
        </w:tc>
        <w:tc>
          <w:tcPr>
            <w:tcW w:w="2130" w:type="dxa"/>
            <w:tcBorders>
              <w:top w:val="single" w:sz="4" w:space="0" w:color="auto"/>
              <w:bottom w:val="none" w:sz="0" w:space="0" w:color="auto"/>
            </w:tcBorders>
            <w:hideMark/>
          </w:tcPr>
          <w:p w14:paraId="12261CF5"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9</w:t>
            </w:r>
          </w:p>
        </w:tc>
        <w:tc>
          <w:tcPr>
            <w:tcW w:w="1980" w:type="dxa"/>
            <w:tcBorders>
              <w:top w:val="single" w:sz="4" w:space="0" w:color="auto"/>
              <w:bottom w:val="none" w:sz="0" w:space="0" w:color="auto"/>
            </w:tcBorders>
            <w:hideMark/>
          </w:tcPr>
          <w:p w14:paraId="5B318B04"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52,9%</w:t>
            </w:r>
          </w:p>
        </w:tc>
      </w:tr>
      <w:tr w:rsidR="00B55531" w:rsidRPr="003951ED" w14:paraId="72429C30" w14:textId="77777777" w:rsidTr="00A7765D">
        <w:trPr>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508C392D" w14:textId="77777777" w:rsidR="00B55531" w:rsidRPr="003951ED" w:rsidRDefault="00B55531" w:rsidP="005956E1">
            <w:pPr>
              <w:ind w:firstLine="284"/>
              <w:jc w:val="center"/>
              <w:rPr>
                <w:lang w:eastAsia="el-GR"/>
              </w:rPr>
            </w:pPr>
            <w:r w:rsidRPr="003951ED">
              <w:rPr>
                <w:lang w:eastAsia="el-GR"/>
              </w:rPr>
              <w:t>Πολύ</w:t>
            </w:r>
          </w:p>
        </w:tc>
        <w:tc>
          <w:tcPr>
            <w:tcW w:w="2130" w:type="dxa"/>
            <w:hideMark/>
          </w:tcPr>
          <w:p w14:paraId="2E7A54FB" w14:textId="77777777" w:rsidR="00B55531" w:rsidRPr="003951ED" w:rsidRDefault="00B55531" w:rsidP="005956E1">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6</w:t>
            </w:r>
          </w:p>
        </w:tc>
        <w:tc>
          <w:tcPr>
            <w:tcW w:w="1980" w:type="dxa"/>
            <w:hideMark/>
          </w:tcPr>
          <w:p w14:paraId="261AEEA9" w14:textId="77777777" w:rsidR="00B55531" w:rsidRPr="003951ED" w:rsidRDefault="00B55531" w:rsidP="005956E1">
            <w:pPr>
              <w:ind w:firstLine="284"/>
              <w:jc w:val="center"/>
              <w:cnfStyle w:val="000000000000" w:firstRow="0" w:lastRow="0" w:firstColumn="0" w:lastColumn="0" w:oddVBand="0" w:evenVBand="0" w:oddHBand="0" w:evenHBand="0" w:firstRowFirstColumn="0" w:firstRowLastColumn="0" w:lastRowFirstColumn="0" w:lastRowLastColumn="0"/>
              <w:rPr>
                <w:lang w:eastAsia="el-GR"/>
              </w:rPr>
            </w:pPr>
            <w:r w:rsidRPr="003951ED">
              <w:rPr>
                <w:lang w:eastAsia="el-GR"/>
              </w:rPr>
              <w:t>35,3%</w:t>
            </w:r>
          </w:p>
        </w:tc>
      </w:tr>
      <w:tr w:rsidR="00B55531" w:rsidRPr="003951ED" w14:paraId="6ED9AD75" w14:textId="77777777" w:rsidTr="00A776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tcBorders>
            <w:hideMark/>
          </w:tcPr>
          <w:p w14:paraId="006ED2A1" w14:textId="77777777" w:rsidR="00B55531" w:rsidRPr="003951ED" w:rsidRDefault="00B55531" w:rsidP="005956E1">
            <w:pPr>
              <w:ind w:firstLine="284"/>
              <w:jc w:val="center"/>
              <w:rPr>
                <w:lang w:eastAsia="el-GR"/>
              </w:rPr>
            </w:pPr>
            <w:r w:rsidRPr="003951ED">
              <w:rPr>
                <w:lang w:eastAsia="el-GR"/>
              </w:rPr>
              <w:t>Μέτρια</w:t>
            </w:r>
          </w:p>
        </w:tc>
        <w:tc>
          <w:tcPr>
            <w:tcW w:w="2130" w:type="dxa"/>
            <w:tcBorders>
              <w:top w:val="none" w:sz="0" w:space="0" w:color="auto"/>
              <w:bottom w:val="none" w:sz="0" w:space="0" w:color="auto"/>
            </w:tcBorders>
            <w:hideMark/>
          </w:tcPr>
          <w:p w14:paraId="36932143"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2</w:t>
            </w:r>
          </w:p>
        </w:tc>
        <w:tc>
          <w:tcPr>
            <w:tcW w:w="1980" w:type="dxa"/>
            <w:tcBorders>
              <w:top w:val="none" w:sz="0" w:space="0" w:color="auto"/>
              <w:bottom w:val="none" w:sz="0" w:space="0" w:color="auto"/>
            </w:tcBorders>
            <w:hideMark/>
          </w:tcPr>
          <w:p w14:paraId="456FD8B7" w14:textId="77777777" w:rsidR="00B55531" w:rsidRPr="003951ED" w:rsidRDefault="00B55531" w:rsidP="005956E1">
            <w:pPr>
              <w:ind w:firstLine="284"/>
              <w:jc w:val="center"/>
              <w:cnfStyle w:val="000000100000" w:firstRow="0" w:lastRow="0" w:firstColumn="0" w:lastColumn="0" w:oddVBand="0" w:evenVBand="0" w:oddHBand="1" w:evenHBand="0" w:firstRowFirstColumn="0" w:firstRowLastColumn="0" w:lastRowFirstColumn="0" w:lastRowLastColumn="0"/>
              <w:rPr>
                <w:lang w:eastAsia="el-GR"/>
              </w:rPr>
            </w:pPr>
            <w:r w:rsidRPr="003951ED">
              <w:rPr>
                <w:lang w:eastAsia="el-GR"/>
              </w:rPr>
              <w:t>11,7%</w:t>
            </w:r>
          </w:p>
        </w:tc>
      </w:tr>
    </w:tbl>
    <w:p w14:paraId="2FE05E8F" w14:textId="04EE85A4" w:rsidR="00B55531" w:rsidRPr="003951ED" w:rsidRDefault="00B55531" w:rsidP="00850B3B">
      <w:pPr>
        <w:spacing w:before="240" w:after="0" w:line="240" w:lineRule="auto"/>
        <w:ind w:firstLine="284"/>
        <w:jc w:val="both"/>
        <w:rPr>
          <w:lang w:eastAsia="el-GR"/>
        </w:rPr>
      </w:pPr>
      <w:r w:rsidRPr="003951ED">
        <w:rPr>
          <w:lang w:eastAsia="el-GR"/>
        </w:rPr>
        <w:t xml:space="preserve">Η δημιουργικότητα αποτελεί έναν από τους βασικούς τομείς που ενισχύθηκαν μέσω των δράσεων. </w:t>
      </w:r>
      <w:r w:rsidR="003C665E">
        <w:rPr>
          <w:lang w:eastAsia="el-GR"/>
        </w:rPr>
        <w:t xml:space="preserve">Σύμφωνα με </w:t>
      </w:r>
      <w:r w:rsidR="00535D73">
        <w:rPr>
          <w:lang w:eastAsia="el-GR"/>
        </w:rPr>
        <w:t>τα ευρήματα που</w:t>
      </w:r>
      <w:r w:rsidR="003C665E">
        <w:rPr>
          <w:lang w:eastAsia="el-GR"/>
        </w:rPr>
        <w:t xml:space="preserve"> αποτυπών</w:t>
      </w:r>
      <w:r w:rsidR="00535D73">
        <w:rPr>
          <w:lang w:eastAsia="el-GR"/>
        </w:rPr>
        <w:t>ον</w:t>
      </w:r>
      <w:r w:rsidR="003C665E">
        <w:rPr>
          <w:lang w:eastAsia="el-GR"/>
        </w:rPr>
        <w:t xml:space="preserve">ται στον Πίνακα </w:t>
      </w:r>
      <w:r w:rsidR="00DB3E5E">
        <w:rPr>
          <w:lang w:eastAsia="el-GR"/>
        </w:rPr>
        <w:t>6</w:t>
      </w:r>
      <w:r w:rsidR="003C665E">
        <w:rPr>
          <w:lang w:eastAsia="el-GR"/>
        </w:rPr>
        <w:t>, τ</w:t>
      </w:r>
      <w:r w:rsidRPr="003951ED">
        <w:rPr>
          <w:lang w:eastAsia="el-GR"/>
        </w:rPr>
        <w:t xml:space="preserve">ο 88,2% των </w:t>
      </w:r>
      <w:r w:rsidRPr="003951ED">
        <w:rPr>
          <w:lang w:eastAsia="el-GR"/>
        </w:rPr>
        <w:lastRenderedPageBreak/>
        <w:t>εκπαιδευτικών αναγνώρισε σημαντική επίδραση, γεγονός που συνδέεται κυρίως με τη συμμετοχή των μαθητών</w:t>
      </w:r>
      <w:r w:rsidR="00DF457A">
        <w:rPr>
          <w:lang w:eastAsia="el-GR"/>
        </w:rPr>
        <w:t xml:space="preserve"> </w:t>
      </w:r>
      <w:r w:rsidRPr="003951ED">
        <w:rPr>
          <w:lang w:eastAsia="el-GR"/>
        </w:rPr>
        <w:t>σε καλλιτεχνικές και πολιτιστικές δραστηριότητες.</w:t>
      </w:r>
    </w:p>
    <w:p w14:paraId="4D9873EF" w14:textId="77777777" w:rsidR="00B55531" w:rsidRPr="003951ED" w:rsidRDefault="00B55531" w:rsidP="006F56A8">
      <w:pPr>
        <w:spacing w:before="240" w:after="0" w:line="240" w:lineRule="auto"/>
        <w:ind w:firstLine="284"/>
        <w:jc w:val="both"/>
        <w:rPr>
          <w:i/>
          <w:lang w:eastAsia="el-GR"/>
        </w:rPr>
      </w:pPr>
      <w:r w:rsidRPr="003951ED">
        <w:rPr>
          <w:i/>
          <w:lang w:eastAsia="el-GR"/>
        </w:rPr>
        <w:t>Ποιοτική ανάλυση δεδομένων</w:t>
      </w:r>
    </w:p>
    <w:p w14:paraId="6CA46573" w14:textId="7FA89E91" w:rsidR="00B55531" w:rsidRPr="003951ED" w:rsidRDefault="00B55531" w:rsidP="006F56A8">
      <w:pPr>
        <w:spacing w:after="0" w:line="240" w:lineRule="auto"/>
        <w:ind w:firstLine="284"/>
        <w:jc w:val="both"/>
        <w:rPr>
          <w:lang w:eastAsia="el-GR"/>
        </w:rPr>
      </w:pPr>
      <w:r w:rsidRPr="003951ED">
        <w:rPr>
          <w:lang w:eastAsia="el-GR"/>
        </w:rPr>
        <w:t xml:space="preserve">Η ποιοτική ανάλυση βασίστηκε στις ανοικτές ερωτήσεις του ερωτηματολογίου, στο ημερολόγιο δράσης και στη </w:t>
      </w:r>
      <w:r w:rsidR="00A37F5E" w:rsidRPr="00A37F5E">
        <w:rPr>
          <w:color w:val="FF0000"/>
          <w:lang w:eastAsia="el-GR"/>
        </w:rPr>
        <w:t>συστηματική</w:t>
      </w:r>
      <w:r w:rsidR="00A37F5E" w:rsidRPr="003951ED">
        <w:rPr>
          <w:lang w:eastAsia="el-GR"/>
        </w:rPr>
        <w:t xml:space="preserve"> </w:t>
      </w:r>
      <w:r w:rsidRPr="003951ED">
        <w:rPr>
          <w:lang w:eastAsia="el-GR"/>
        </w:rPr>
        <w:t>παρατήρηση. Μέσω της θεματικής ανάλυσης αναδείχθηκαν οι ακόλουθοι βασικοί άξονες</w:t>
      </w:r>
      <w:r w:rsidR="004377DE" w:rsidRPr="003951ED">
        <w:rPr>
          <w:lang w:eastAsia="el-GR"/>
        </w:rPr>
        <w:t>.</w:t>
      </w:r>
    </w:p>
    <w:p w14:paraId="79D4CD82" w14:textId="0A52E5EC" w:rsidR="00B55531" w:rsidRPr="003951ED" w:rsidRDefault="00B55531" w:rsidP="006F56A8">
      <w:pPr>
        <w:spacing w:after="0" w:line="240" w:lineRule="auto"/>
        <w:ind w:firstLine="284"/>
        <w:jc w:val="both"/>
        <w:rPr>
          <w:lang w:eastAsia="el-GR"/>
        </w:rPr>
      </w:pPr>
      <w:r w:rsidRPr="003951ED">
        <w:rPr>
          <w:lang w:eastAsia="el-GR"/>
        </w:rPr>
        <w:t>Ενεργός συμμετοχή και ενίσχυση ενδιαφέροντος</w:t>
      </w:r>
      <w:r w:rsidR="00DE1A50" w:rsidRPr="003951ED">
        <w:rPr>
          <w:lang w:eastAsia="el-GR"/>
        </w:rPr>
        <w:t>:</w:t>
      </w:r>
      <w:r w:rsidR="006B700F" w:rsidRPr="003951ED">
        <w:rPr>
          <w:lang w:eastAsia="el-GR"/>
        </w:rPr>
        <w:t xml:space="preserve"> </w:t>
      </w:r>
      <w:r w:rsidRPr="003951ED">
        <w:rPr>
          <w:lang w:eastAsia="el-GR"/>
        </w:rPr>
        <w:t xml:space="preserve">Οι εκπαιδευτικοί ανέφεραν ότι οι </w:t>
      </w:r>
      <w:r w:rsidRPr="00A37F5E">
        <w:rPr>
          <w:color w:val="FF0000"/>
          <w:lang w:eastAsia="el-GR"/>
        </w:rPr>
        <w:t>μαθητές</w:t>
      </w:r>
      <w:r w:rsidRPr="003951ED">
        <w:rPr>
          <w:lang w:eastAsia="el-GR"/>
        </w:rPr>
        <w:t xml:space="preserve"> συμμετείχαν με ενθουσιασμό στις </w:t>
      </w:r>
      <w:r w:rsidR="00E16525" w:rsidRPr="00E16525">
        <w:rPr>
          <w:color w:val="FF0000"/>
          <w:lang w:eastAsia="el-GR"/>
        </w:rPr>
        <w:t>δραστηριότητες</w:t>
      </w:r>
      <w:r w:rsidRPr="003951ED">
        <w:rPr>
          <w:lang w:eastAsia="el-GR"/>
        </w:rPr>
        <w:t>, επιδεικνύοντας αυξημένο ενδιαφέρον και διάθεση για μάθηση.</w:t>
      </w:r>
      <w:r w:rsidR="006B700F" w:rsidRPr="003951ED">
        <w:rPr>
          <w:lang w:eastAsia="el-GR"/>
        </w:rPr>
        <w:t xml:space="preserve"> </w:t>
      </w:r>
      <w:r w:rsidRPr="003951ED">
        <w:rPr>
          <w:lang w:eastAsia="el-GR"/>
        </w:rPr>
        <w:t>Η βιωματική φύση των δραστηριοτήτων εν</w:t>
      </w:r>
      <w:r w:rsidR="00540816">
        <w:rPr>
          <w:lang w:eastAsia="el-GR"/>
        </w:rPr>
        <w:t>ί</w:t>
      </w:r>
      <w:r w:rsidRPr="003951ED">
        <w:rPr>
          <w:lang w:eastAsia="el-GR"/>
        </w:rPr>
        <w:t>σχ</w:t>
      </w:r>
      <w:r w:rsidR="00540816">
        <w:rPr>
          <w:lang w:eastAsia="el-GR"/>
        </w:rPr>
        <w:t>υσε</w:t>
      </w:r>
      <w:r w:rsidRPr="003951ED">
        <w:rPr>
          <w:lang w:eastAsia="el-GR"/>
        </w:rPr>
        <w:t xml:space="preserve"> την εσωτερική παρακίνηση των μαθητών</w:t>
      </w:r>
      <w:r w:rsidR="00511B81">
        <w:rPr>
          <w:lang w:eastAsia="el-GR"/>
        </w:rPr>
        <w:t>/τριών</w:t>
      </w:r>
      <w:r w:rsidRPr="003951ED">
        <w:rPr>
          <w:lang w:eastAsia="el-GR"/>
        </w:rPr>
        <w:t xml:space="preserve"> και οδ</w:t>
      </w:r>
      <w:r w:rsidR="00540816">
        <w:rPr>
          <w:lang w:eastAsia="el-GR"/>
        </w:rPr>
        <w:t>ήγησε</w:t>
      </w:r>
      <w:r w:rsidRPr="003951ED">
        <w:rPr>
          <w:lang w:eastAsia="el-GR"/>
        </w:rPr>
        <w:t xml:space="preserve"> σε μεγαλύτερη εμπλοκή.</w:t>
      </w:r>
    </w:p>
    <w:p w14:paraId="73DCE13F" w14:textId="1F13A5EC" w:rsidR="00B55531" w:rsidRPr="003951ED" w:rsidRDefault="00B55531" w:rsidP="006F56A8">
      <w:pPr>
        <w:spacing w:after="0" w:line="240" w:lineRule="auto"/>
        <w:ind w:firstLine="284"/>
        <w:jc w:val="both"/>
        <w:rPr>
          <w:lang w:eastAsia="el-GR"/>
        </w:rPr>
      </w:pPr>
      <w:r w:rsidRPr="003951ED">
        <w:rPr>
          <w:lang w:eastAsia="el-GR"/>
        </w:rPr>
        <w:t>Ανάπτυξη συνεργασίας και κοινωνικών δεξιοτήτων</w:t>
      </w:r>
      <w:r w:rsidR="00DE1A50" w:rsidRPr="003951ED">
        <w:rPr>
          <w:lang w:eastAsia="el-GR"/>
        </w:rPr>
        <w:t>:</w:t>
      </w:r>
      <w:r w:rsidR="006B700F" w:rsidRPr="003951ED">
        <w:rPr>
          <w:lang w:eastAsia="el-GR"/>
        </w:rPr>
        <w:t xml:space="preserve"> </w:t>
      </w:r>
      <w:r w:rsidRPr="003951ED">
        <w:rPr>
          <w:lang w:eastAsia="el-GR"/>
        </w:rPr>
        <w:t xml:space="preserve">Η ομαδική εργασία αποτέλεσε βασικό στοιχείο των </w:t>
      </w:r>
      <w:r w:rsidR="00197DCE" w:rsidRPr="00197DCE">
        <w:rPr>
          <w:color w:val="FF0000"/>
          <w:lang w:eastAsia="el-GR"/>
        </w:rPr>
        <w:t>παρεμβάσεων</w:t>
      </w:r>
      <w:r w:rsidRPr="003951ED">
        <w:rPr>
          <w:lang w:eastAsia="el-GR"/>
        </w:rPr>
        <w:t xml:space="preserve">, ενισχύοντας τη συνεργασία, την επικοινωνία και τον σεβασμό μεταξύ των </w:t>
      </w:r>
      <w:r w:rsidRPr="00A37F5E">
        <w:rPr>
          <w:color w:val="FF0000"/>
          <w:lang w:eastAsia="el-GR"/>
        </w:rPr>
        <w:t>μαθητών</w:t>
      </w:r>
      <w:r w:rsidRPr="003951ED">
        <w:rPr>
          <w:lang w:eastAsia="el-GR"/>
        </w:rPr>
        <w:t>.</w:t>
      </w:r>
      <w:r w:rsidR="006B700F" w:rsidRPr="003951ED">
        <w:rPr>
          <w:lang w:eastAsia="el-GR"/>
        </w:rPr>
        <w:t xml:space="preserve"> </w:t>
      </w:r>
      <w:r w:rsidRPr="003951ED">
        <w:rPr>
          <w:lang w:eastAsia="el-GR"/>
        </w:rPr>
        <w:t xml:space="preserve">Οι </w:t>
      </w:r>
      <w:r w:rsidR="00A37F5E" w:rsidRPr="00A37F5E">
        <w:rPr>
          <w:color w:val="FF0000"/>
          <w:lang w:eastAsia="el-GR"/>
        </w:rPr>
        <w:t>συνεργατικές</w:t>
      </w:r>
      <w:r w:rsidR="00A37F5E" w:rsidRPr="003951ED">
        <w:rPr>
          <w:lang w:eastAsia="el-GR"/>
        </w:rPr>
        <w:t xml:space="preserve"> </w:t>
      </w:r>
      <w:r w:rsidRPr="003951ED">
        <w:rPr>
          <w:lang w:eastAsia="el-GR"/>
        </w:rPr>
        <w:t>δραστηριότητες δημιο</w:t>
      </w:r>
      <w:r w:rsidR="00540816">
        <w:rPr>
          <w:lang w:eastAsia="el-GR"/>
        </w:rPr>
        <w:t>ύ</w:t>
      </w:r>
      <w:r w:rsidRPr="003951ED">
        <w:rPr>
          <w:lang w:eastAsia="el-GR"/>
        </w:rPr>
        <w:t>ργ</w:t>
      </w:r>
      <w:r w:rsidR="00540816">
        <w:rPr>
          <w:lang w:eastAsia="el-GR"/>
        </w:rPr>
        <w:t>ησαν</w:t>
      </w:r>
      <w:r w:rsidRPr="003951ED">
        <w:rPr>
          <w:lang w:eastAsia="el-GR"/>
        </w:rPr>
        <w:t xml:space="preserve"> ένα υποστηρικτικό μαθησιακό περιβάλλον και εν</w:t>
      </w:r>
      <w:r w:rsidR="00540816">
        <w:rPr>
          <w:lang w:eastAsia="el-GR"/>
        </w:rPr>
        <w:t>ί</w:t>
      </w:r>
      <w:r w:rsidRPr="003951ED">
        <w:rPr>
          <w:lang w:eastAsia="el-GR"/>
        </w:rPr>
        <w:t>σχ</w:t>
      </w:r>
      <w:r w:rsidR="00540816">
        <w:rPr>
          <w:lang w:eastAsia="el-GR"/>
        </w:rPr>
        <w:t>υσα</w:t>
      </w:r>
      <w:r w:rsidRPr="003951ED">
        <w:rPr>
          <w:lang w:eastAsia="el-GR"/>
        </w:rPr>
        <w:t>ν τις διαπροσωπικές δεξιότητες.</w:t>
      </w:r>
    </w:p>
    <w:p w14:paraId="7BBA12D0" w14:textId="06436842" w:rsidR="00B55531" w:rsidRPr="003951ED" w:rsidRDefault="00B55531" w:rsidP="006F56A8">
      <w:pPr>
        <w:spacing w:after="0" w:line="240" w:lineRule="auto"/>
        <w:ind w:firstLine="284"/>
        <w:jc w:val="both"/>
        <w:rPr>
          <w:lang w:eastAsia="el-GR"/>
        </w:rPr>
      </w:pPr>
      <w:r w:rsidRPr="003951ED">
        <w:rPr>
          <w:lang w:eastAsia="el-GR"/>
        </w:rPr>
        <w:t>Καλλιέργεια δημιουργικότητας και έκφρασης</w:t>
      </w:r>
      <w:r w:rsidR="00DE1A50" w:rsidRPr="003951ED">
        <w:rPr>
          <w:lang w:eastAsia="el-GR"/>
        </w:rPr>
        <w:t>:</w:t>
      </w:r>
      <w:r w:rsidR="006B700F" w:rsidRPr="003951ED">
        <w:rPr>
          <w:lang w:eastAsia="el-GR"/>
        </w:rPr>
        <w:t xml:space="preserve"> </w:t>
      </w:r>
      <w:r w:rsidRPr="003951ED">
        <w:rPr>
          <w:lang w:eastAsia="el-GR"/>
        </w:rPr>
        <w:t xml:space="preserve">Οι </w:t>
      </w:r>
      <w:r w:rsidRPr="00A37F5E">
        <w:rPr>
          <w:color w:val="FF0000"/>
          <w:lang w:eastAsia="el-GR"/>
        </w:rPr>
        <w:t>μαθητές</w:t>
      </w:r>
      <w:r w:rsidRPr="003951ED">
        <w:rPr>
          <w:lang w:eastAsia="el-GR"/>
        </w:rPr>
        <w:t xml:space="preserve"> είχαν τη δυνατότητα να εκφραστούν δημιουργικά μέσω της τέχνης, του θεάτρου και της μουσικής.</w:t>
      </w:r>
      <w:r w:rsidR="004377DE" w:rsidRPr="003951ED">
        <w:rPr>
          <w:lang w:eastAsia="el-GR"/>
        </w:rPr>
        <w:t xml:space="preserve"> </w:t>
      </w:r>
      <w:r w:rsidRPr="003951ED">
        <w:rPr>
          <w:lang w:eastAsia="el-GR"/>
        </w:rPr>
        <w:t>Η καλλιτεχνική έκφραση λειτο</w:t>
      </w:r>
      <w:r w:rsidR="00540816">
        <w:rPr>
          <w:lang w:eastAsia="el-GR"/>
        </w:rPr>
        <w:t>ύ</w:t>
      </w:r>
      <w:r w:rsidRPr="003951ED">
        <w:rPr>
          <w:lang w:eastAsia="el-GR"/>
        </w:rPr>
        <w:t>ργ</w:t>
      </w:r>
      <w:r w:rsidR="00540816">
        <w:rPr>
          <w:lang w:eastAsia="el-GR"/>
        </w:rPr>
        <w:t>ησε</w:t>
      </w:r>
      <w:r w:rsidRPr="003951ED">
        <w:rPr>
          <w:lang w:eastAsia="el-GR"/>
        </w:rPr>
        <w:t xml:space="preserve"> ως μέσο ανάπτυξης της φαντασίας και της δημιουργικής σκέψης.</w:t>
      </w:r>
    </w:p>
    <w:p w14:paraId="2C70A92E" w14:textId="4D6572E9" w:rsidR="00B55531" w:rsidRDefault="00B55531" w:rsidP="006F56A8">
      <w:pPr>
        <w:spacing w:after="0" w:line="240" w:lineRule="auto"/>
        <w:ind w:firstLine="284"/>
        <w:jc w:val="both"/>
        <w:rPr>
          <w:lang w:eastAsia="el-GR"/>
        </w:rPr>
      </w:pPr>
      <w:r w:rsidRPr="003951ED">
        <w:rPr>
          <w:lang w:eastAsia="el-GR"/>
        </w:rPr>
        <w:t>Θετική στάση απέναντι στο σχολείο</w:t>
      </w:r>
      <w:r w:rsidR="00DE1A50" w:rsidRPr="003951ED">
        <w:rPr>
          <w:lang w:eastAsia="el-GR"/>
        </w:rPr>
        <w:t>:</w:t>
      </w:r>
      <w:r w:rsidR="006B700F" w:rsidRPr="003951ED">
        <w:rPr>
          <w:lang w:eastAsia="el-GR"/>
        </w:rPr>
        <w:t xml:space="preserve"> </w:t>
      </w:r>
      <w:r w:rsidRPr="003951ED">
        <w:rPr>
          <w:lang w:eastAsia="el-GR"/>
        </w:rPr>
        <w:t xml:space="preserve">Οι </w:t>
      </w:r>
      <w:r w:rsidR="00197DCE" w:rsidRPr="00197DCE">
        <w:rPr>
          <w:bCs/>
          <w:color w:val="FF0000"/>
          <w:lang w:eastAsia="el-GR"/>
        </w:rPr>
        <w:t>διδακτικές πρακτικές</w:t>
      </w:r>
      <w:r w:rsidRPr="003951ED">
        <w:rPr>
          <w:lang w:eastAsia="el-GR"/>
        </w:rPr>
        <w:t xml:space="preserve"> συνέβαλαν στη δημιουργία θετικού κλίματος και ενίσχυσαν τη σχέση των </w:t>
      </w:r>
      <w:r w:rsidRPr="00A37F5E">
        <w:rPr>
          <w:color w:val="FF0000"/>
          <w:lang w:eastAsia="el-GR"/>
        </w:rPr>
        <w:t>μαθητών</w:t>
      </w:r>
      <w:r w:rsidRPr="003951ED">
        <w:rPr>
          <w:lang w:eastAsia="el-GR"/>
        </w:rPr>
        <w:t xml:space="preserve"> με το σχολείο.</w:t>
      </w:r>
      <w:r w:rsidR="004377DE" w:rsidRPr="003951ED">
        <w:rPr>
          <w:lang w:eastAsia="el-GR"/>
        </w:rPr>
        <w:t xml:space="preserve"> </w:t>
      </w:r>
      <w:r w:rsidRPr="003951ED">
        <w:rPr>
          <w:lang w:eastAsia="el-GR"/>
        </w:rPr>
        <w:t>Η σύνδεση της μάθησης με ευχάριστες εμπειρίες εν</w:t>
      </w:r>
      <w:r w:rsidR="00540816">
        <w:rPr>
          <w:lang w:eastAsia="el-GR"/>
        </w:rPr>
        <w:t>ί</w:t>
      </w:r>
      <w:r w:rsidRPr="003951ED">
        <w:rPr>
          <w:lang w:eastAsia="el-GR"/>
        </w:rPr>
        <w:t>σχ</w:t>
      </w:r>
      <w:r w:rsidR="00540816">
        <w:rPr>
          <w:lang w:eastAsia="el-GR"/>
        </w:rPr>
        <w:t>υσε</w:t>
      </w:r>
      <w:r w:rsidRPr="003951ED">
        <w:rPr>
          <w:lang w:eastAsia="el-GR"/>
        </w:rPr>
        <w:t xml:space="preserve"> τη σχολική προσαρμογή και την ψυχοκοινωνική ευημερία.</w:t>
      </w:r>
    </w:p>
    <w:p w14:paraId="319DFF17" w14:textId="3146BB54" w:rsidR="00A37F5E" w:rsidRPr="00AF1747" w:rsidRDefault="00A37F5E" w:rsidP="00AF1747">
      <w:pPr>
        <w:spacing w:after="0" w:line="240" w:lineRule="auto"/>
        <w:ind w:firstLine="284"/>
        <w:jc w:val="both"/>
        <w:rPr>
          <w:color w:val="FF0000"/>
          <w:lang w:eastAsia="el-GR"/>
        </w:rPr>
      </w:pPr>
      <w:r w:rsidRPr="00A37F5E">
        <w:rPr>
          <w:color w:val="FF0000"/>
          <w:lang w:eastAsia="el-GR"/>
        </w:rPr>
        <w:t>Συνολικά,</w:t>
      </w:r>
      <w:r>
        <w:rPr>
          <w:color w:val="FF0000"/>
          <w:lang w:eastAsia="el-GR"/>
        </w:rPr>
        <w:t xml:space="preserve"> η</w:t>
      </w:r>
      <w:r w:rsidR="00AF1747" w:rsidRPr="00AF1747">
        <w:rPr>
          <w:color w:val="FF0000"/>
          <w:lang w:eastAsia="el-GR"/>
        </w:rPr>
        <w:t xml:space="preserve"> ποιοτική ανάλυση ανέδειξε επαναλαμβανόμενα μοτίβα που σχετίζονται με την ενεργό συμμετοχή, τη συνεργασία και τη δημιουργική έκφραση</w:t>
      </w:r>
      <w:r w:rsidRPr="00A37F5E">
        <w:rPr>
          <w:color w:val="FF0000"/>
          <w:lang w:eastAsia="el-GR"/>
        </w:rPr>
        <w:t xml:space="preserve"> των μαθητών</w:t>
      </w:r>
      <w:r w:rsidR="00AF1747" w:rsidRPr="00AF1747">
        <w:rPr>
          <w:color w:val="FF0000"/>
          <w:lang w:eastAsia="el-GR"/>
        </w:rPr>
        <w:t xml:space="preserve">. Οι εκπαιδευτικοί υπογράμμισαν ότι οι </w:t>
      </w:r>
      <w:r w:rsidRPr="00A37F5E">
        <w:rPr>
          <w:color w:val="FF0000"/>
          <w:lang w:eastAsia="el-GR"/>
        </w:rPr>
        <w:t>δραστηριότητες</w:t>
      </w:r>
      <w:r w:rsidRPr="00AF1747">
        <w:rPr>
          <w:color w:val="FF0000"/>
          <w:lang w:eastAsia="el-GR"/>
        </w:rPr>
        <w:t xml:space="preserve"> </w:t>
      </w:r>
      <w:r w:rsidR="00AF1747" w:rsidRPr="00AF1747">
        <w:rPr>
          <w:color w:val="FF0000"/>
          <w:lang w:eastAsia="el-GR"/>
        </w:rPr>
        <w:t xml:space="preserve">ενίσχυσαν την εμπλοκή των μαθητών και </w:t>
      </w:r>
      <w:r w:rsidRPr="00A37F5E">
        <w:rPr>
          <w:color w:val="FF0000"/>
          <w:lang w:eastAsia="el-GR"/>
        </w:rPr>
        <w:t>συνέβαλαν στη διαμόρφωση</w:t>
      </w:r>
      <w:r>
        <w:rPr>
          <w:color w:val="FF0000"/>
          <w:lang w:eastAsia="el-GR"/>
        </w:rPr>
        <w:t xml:space="preserve"> </w:t>
      </w:r>
      <w:r w:rsidRPr="00A37F5E">
        <w:rPr>
          <w:color w:val="FF0000"/>
          <w:lang w:eastAsia="el-GR"/>
        </w:rPr>
        <w:t>ενός πιο δυναμικού μαθησιακού περιβάλλοντος</w:t>
      </w:r>
      <w:r w:rsidR="00AF1747" w:rsidRPr="00AF1747">
        <w:rPr>
          <w:color w:val="FF0000"/>
          <w:lang w:eastAsia="el-GR"/>
        </w:rPr>
        <w:t xml:space="preserve">. Τα ευρήματα αυτά </w:t>
      </w:r>
      <w:r w:rsidR="00CF4991" w:rsidRPr="00A37F5E">
        <w:rPr>
          <w:color w:val="FF0000"/>
          <w:lang w:eastAsia="el-GR"/>
        </w:rPr>
        <w:t>υπερβαίνουν</w:t>
      </w:r>
      <w:r w:rsidR="00CF4991" w:rsidRPr="00AF1747">
        <w:rPr>
          <w:color w:val="FF0000"/>
          <w:lang w:eastAsia="el-GR"/>
        </w:rPr>
        <w:t xml:space="preserve"> </w:t>
      </w:r>
      <w:r w:rsidR="00CF4991">
        <w:rPr>
          <w:color w:val="FF0000"/>
          <w:lang w:eastAsia="el-GR"/>
        </w:rPr>
        <w:t>την</w:t>
      </w:r>
      <w:r w:rsidR="00AF1747" w:rsidRPr="00AF1747">
        <w:rPr>
          <w:color w:val="FF0000"/>
          <w:lang w:eastAsia="el-GR"/>
        </w:rPr>
        <w:t xml:space="preserve"> απλή περιγραφή</w:t>
      </w:r>
      <w:r w:rsidR="00CF4991" w:rsidRPr="00CF4991">
        <w:rPr>
          <w:color w:val="FF0000"/>
          <w:lang w:eastAsia="el-GR"/>
        </w:rPr>
        <w:t xml:space="preserve"> </w:t>
      </w:r>
      <w:r w:rsidR="00CF4991" w:rsidRPr="00A37F5E">
        <w:rPr>
          <w:color w:val="FF0000"/>
          <w:lang w:eastAsia="el-GR"/>
        </w:rPr>
        <w:t>αποτύπωση και αναδεικνύουν τη σημασία των βιωματικών προσεγγίσεων στη μαθησιακή διαδικασία</w:t>
      </w:r>
      <w:r w:rsidR="00CF4991">
        <w:rPr>
          <w:color w:val="FF0000"/>
          <w:lang w:eastAsia="el-GR"/>
        </w:rPr>
        <w:t>.</w:t>
      </w:r>
    </w:p>
    <w:p w14:paraId="791707AC" w14:textId="77777777" w:rsidR="00B55531" w:rsidRPr="003951ED" w:rsidRDefault="00B55531" w:rsidP="006F56A8">
      <w:pPr>
        <w:spacing w:before="240" w:after="0" w:line="240" w:lineRule="auto"/>
        <w:ind w:firstLine="284"/>
        <w:jc w:val="both"/>
        <w:rPr>
          <w:i/>
          <w:lang w:eastAsia="el-GR"/>
        </w:rPr>
      </w:pPr>
      <w:r w:rsidRPr="003951ED">
        <w:rPr>
          <w:i/>
          <w:lang w:eastAsia="el-GR"/>
        </w:rPr>
        <w:t>Συνολική αποτίμηση ευρημάτων</w:t>
      </w:r>
    </w:p>
    <w:p w14:paraId="038E5A02" w14:textId="6D5EBF4A" w:rsidR="00B55531" w:rsidRPr="003951ED" w:rsidRDefault="00B55531" w:rsidP="006F56A8">
      <w:pPr>
        <w:spacing w:after="0" w:line="240" w:lineRule="auto"/>
        <w:ind w:firstLine="284"/>
        <w:jc w:val="both"/>
        <w:rPr>
          <w:lang w:eastAsia="el-GR"/>
        </w:rPr>
      </w:pPr>
      <w:r w:rsidRPr="003951ED">
        <w:rPr>
          <w:lang w:eastAsia="el-GR"/>
        </w:rPr>
        <w:t>Συνολικά, τα αποτελέσματα της έρευνας καταδεικνύουν ότι οι διαθεματικές δράσεις είχαν σημαντική θετική επίδραση</w:t>
      </w:r>
      <w:r w:rsidR="004377DE" w:rsidRPr="003951ED">
        <w:rPr>
          <w:lang w:eastAsia="el-GR"/>
        </w:rPr>
        <w:t xml:space="preserve"> στη συμμετοχή των </w:t>
      </w:r>
      <w:r w:rsidR="004377DE" w:rsidRPr="00DF457A">
        <w:rPr>
          <w:color w:val="FF0000"/>
          <w:lang w:eastAsia="el-GR"/>
        </w:rPr>
        <w:t>μαθητών</w:t>
      </w:r>
      <w:r w:rsidR="004377DE" w:rsidRPr="003951ED">
        <w:rPr>
          <w:lang w:eastAsia="el-GR"/>
        </w:rPr>
        <w:t xml:space="preserve">, </w:t>
      </w:r>
      <w:r w:rsidRPr="003951ED">
        <w:rPr>
          <w:lang w:eastAsia="el-GR"/>
        </w:rPr>
        <w:t>στην ανάπτυξη συνεργατικών δεξιοτήτων</w:t>
      </w:r>
      <w:r w:rsidR="004377DE" w:rsidRPr="003951ED">
        <w:rPr>
          <w:lang w:eastAsia="el-GR"/>
        </w:rPr>
        <w:t xml:space="preserve">, όπως επίσης και </w:t>
      </w:r>
      <w:r w:rsidRPr="003951ED">
        <w:rPr>
          <w:lang w:eastAsia="el-GR"/>
        </w:rPr>
        <w:t xml:space="preserve">στην ενίσχυση της δημιουργικότητας </w:t>
      </w:r>
      <w:r w:rsidR="004377DE" w:rsidRPr="003951ED">
        <w:rPr>
          <w:lang w:eastAsia="el-GR"/>
        </w:rPr>
        <w:t xml:space="preserve">και </w:t>
      </w:r>
      <w:r w:rsidRPr="003951ED">
        <w:rPr>
          <w:lang w:eastAsia="el-GR"/>
        </w:rPr>
        <w:t>στη διαμόρφωση θετικής στάσης απέναντι στη μάθηση</w:t>
      </w:r>
      <w:r w:rsidR="00511B81">
        <w:rPr>
          <w:lang w:eastAsia="el-GR"/>
        </w:rPr>
        <w:t>.</w:t>
      </w:r>
      <w:r w:rsidRPr="003951ED">
        <w:rPr>
          <w:lang w:eastAsia="el-GR"/>
        </w:rPr>
        <w:t xml:space="preserve"> </w:t>
      </w:r>
    </w:p>
    <w:p w14:paraId="071FB068" w14:textId="77777777" w:rsidR="00B55531" w:rsidRPr="003951ED" w:rsidRDefault="00B55531" w:rsidP="006F56A8">
      <w:pPr>
        <w:spacing w:after="0" w:line="240" w:lineRule="auto"/>
        <w:ind w:firstLine="284"/>
        <w:jc w:val="both"/>
        <w:rPr>
          <w:lang w:eastAsia="el-GR"/>
        </w:rPr>
      </w:pPr>
      <w:r w:rsidRPr="003951ED">
        <w:rPr>
          <w:lang w:eastAsia="el-GR"/>
        </w:rPr>
        <w:t>Η σύγκλιση των ποσοτικών και ποιοτικών δεδομένων ενισχύει την εγκυρότητα των ευρημάτων και επιβεβαιώνει τη σημασία των βιωματικών δράσεων στο σύγχρονο σχολείο.</w:t>
      </w:r>
    </w:p>
    <w:p w14:paraId="65BF49AA" w14:textId="77777777" w:rsidR="0040780B" w:rsidRPr="006F56A8" w:rsidRDefault="0040780B" w:rsidP="006F56A8">
      <w:pPr>
        <w:spacing w:before="240" w:after="0" w:line="240" w:lineRule="auto"/>
        <w:ind w:firstLine="284"/>
        <w:jc w:val="both"/>
        <w:rPr>
          <w:b/>
          <w:lang w:eastAsia="el-GR"/>
        </w:rPr>
      </w:pPr>
      <w:r w:rsidRPr="006F56A8">
        <w:rPr>
          <w:b/>
          <w:lang w:eastAsia="el-GR"/>
        </w:rPr>
        <w:t>Συζήτηση</w:t>
      </w:r>
      <w:r w:rsidR="00004EC3" w:rsidRPr="006F56A8">
        <w:rPr>
          <w:b/>
          <w:lang w:eastAsia="el-GR"/>
        </w:rPr>
        <w:t xml:space="preserve"> ευρημάτων</w:t>
      </w:r>
    </w:p>
    <w:p w14:paraId="71F8ECC7" w14:textId="5E06B67C" w:rsidR="00CF4991" w:rsidRDefault="0040780B" w:rsidP="006F56A8">
      <w:pPr>
        <w:spacing w:after="0" w:line="240" w:lineRule="auto"/>
        <w:ind w:firstLine="284"/>
        <w:jc w:val="both"/>
        <w:rPr>
          <w:color w:val="FF0000"/>
          <w:lang w:eastAsia="el-GR"/>
        </w:rPr>
      </w:pPr>
      <w:r w:rsidRPr="003951ED">
        <w:rPr>
          <w:lang w:eastAsia="el-GR"/>
        </w:rPr>
        <w:t xml:space="preserve">Η παρούσα μελέτη διερεύνησε τη συμβολή διαθεματικών </w:t>
      </w:r>
      <w:r w:rsidR="00E16525" w:rsidRPr="00E16525">
        <w:rPr>
          <w:color w:val="FF0000"/>
          <w:lang w:eastAsia="el-GR"/>
        </w:rPr>
        <w:t>εκπαιδευτικών</w:t>
      </w:r>
      <w:r w:rsidR="00E16525">
        <w:rPr>
          <w:lang w:eastAsia="el-GR"/>
        </w:rPr>
        <w:t xml:space="preserve"> </w:t>
      </w:r>
      <w:r w:rsidRPr="003951ED">
        <w:rPr>
          <w:lang w:eastAsia="el-GR"/>
        </w:rPr>
        <w:t xml:space="preserve">δράσεων τέχνης, πολιτισμού, αθλητισμού και μαθηματικών στη μαθησιακή διαδικασία, μέσα από τις αντιλήψεις των εκπαιδευτικών. Τα ευρήματα αναδεικνύουν τη θετική επίδραση </w:t>
      </w:r>
      <w:r w:rsidR="00E16525" w:rsidRPr="00E16525">
        <w:rPr>
          <w:color w:val="FF0000"/>
          <w:lang w:eastAsia="el-GR"/>
        </w:rPr>
        <w:t>εκπαιδευτικών παρεμβάσεων</w:t>
      </w:r>
      <w:r w:rsidRPr="003951ED">
        <w:rPr>
          <w:lang w:eastAsia="el-GR"/>
        </w:rPr>
        <w:t xml:space="preserve"> σε πολλαπλά επίπεδα, επιβεβαιώνοντας τη σημασία της βιωματικής και συνεργατικής μάθησης</w:t>
      </w:r>
      <w:r w:rsidR="00CF4991">
        <w:rPr>
          <w:lang w:eastAsia="el-GR"/>
        </w:rPr>
        <w:t>.</w:t>
      </w:r>
      <w:r w:rsidR="00CF4991" w:rsidRPr="00CF4991">
        <w:t xml:space="preserve"> </w:t>
      </w:r>
      <w:r w:rsidR="00CF4991" w:rsidRPr="00CF4991">
        <w:rPr>
          <w:color w:val="FF0000"/>
          <w:lang w:eastAsia="el-GR"/>
        </w:rPr>
        <w:t>Τα αποτελέσματα της έρευνας συνάδουν με προηγούμενες μελέτες</w:t>
      </w:r>
      <w:r w:rsidR="002033B2">
        <w:rPr>
          <w:color w:val="FF0000"/>
          <w:lang w:eastAsia="el-GR"/>
        </w:rPr>
        <w:t>, οι οποίες</w:t>
      </w:r>
      <w:r w:rsidR="00CF4991" w:rsidRPr="00CF4991">
        <w:rPr>
          <w:color w:val="FF0000"/>
          <w:lang w:eastAsia="el-GR"/>
        </w:rPr>
        <w:t xml:space="preserve"> υπογραμμίζουν τον ρόλο της βιωματικής και διαθεματικής προσέγγισης στην ενίσχυση της μαθησιακής εμπλοκής και στην ανάπτυξη γνωστικών και κοινωνικών δεξιοτήτων (</w:t>
      </w:r>
      <w:proofErr w:type="spellStart"/>
      <w:r w:rsidR="00CF4991" w:rsidRPr="00CF4991">
        <w:rPr>
          <w:color w:val="FF0000"/>
          <w:lang w:eastAsia="el-GR"/>
        </w:rPr>
        <w:t>Kolb</w:t>
      </w:r>
      <w:proofErr w:type="spellEnd"/>
      <w:r w:rsidR="00CF4991" w:rsidRPr="00CF4991">
        <w:rPr>
          <w:color w:val="FF0000"/>
          <w:lang w:eastAsia="el-GR"/>
        </w:rPr>
        <w:t xml:space="preserve">, 1984· </w:t>
      </w:r>
      <w:proofErr w:type="spellStart"/>
      <w:r w:rsidR="00CF4991" w:rsidRPr="00CF4991">
        <w:rPr>
          <w:color w:val="FF0000"/>
          <w:lang w:eastAsia="el-GR"/>
        </w:rPr>
        <w:t>Dewey</w:t>
      </w:r>
      <w:proofErr w:type="spellEnd"/>
      <w:r w:rsidR="00CF4991" w:rsidRPr="00CF4991">
        <w:rPr>
          <w:color w:val="FF0000"/>
          <w:lang w:eastAsia="el-GR"/>
        </w:rPr>
        <w:t>, 1938).</w:t>
      </w:r>
    </w:p>
    <w:p w14:paraId="3EB8D1C0" w14:textId="0C1231F3" w:rsidR="0040780B" w:rsidRPr="003951ED" w:rsidRDefault="0040780B" w:rsidP="006F56A8">
      <w:pPr>
        <w:spacing w:after="0" w:line="240" w:lineRule="auto"/>
        <w:ind w:firstLine="284"/>
        <w:jc w:val="both"/>
        <w:rPr>
          <w:lang w:eastAsia="el-GR"/>
        </w:rPr>
      </w:pPr>
      <w:r w:rsidRPr="003951ED">
        <w:rPr>
          <w:lang w:eastAsia="el-GR"/>
        </w:rPr>
        <w:t>Τα ποσοτικά δεδομένα έδειξαν ότι η πλειονότητα των εκπαιδευτικών αξιολόγησε ιδιαίτερα θετικά τις δράσεις, γεγονός που υποδηλώνει υψηλό βαθμό αποδοχής και αποτελεσματικότητας. Το εύρημα αυτό συνάδει με τη θεωρία της βιωματικής μάθησης, σύμφωνα με την οποία η γνώση οικοδομείται μέσα από την εμπειρία και τη συμμετοχή (</w:t>
      </w:r>
      <w:proofErr w:type="spellStart"/>
      <w:r w:rsidRPr="003951ED">
        <w:rPr>
          <w:lang w:eastAsia="el-GR"/>
        </w:rPr>
        <w:t>Dewey</w:t>
      </w:r>
      <w:proofErr w:type="spellEnd"/>
      <w:r w:rsidRPr="003951ED">
        <w:rPr>
          <w:lang w:eastAsia="el-GR"/>
        </w:rPr>
        <w:t xml:space="preserve">, 1938· </w:t>
      </w:r>
      <w:proofErr w:type="spellStart"/>
      <w:r w:rsidRPr="003951ED">
        <w:rPr>
          <w:lang w:eastAsia="el-GR"/>
        </w:rPr>
        <w:t>Kolb</w:t>
      </w:r>
      <w:proofErr w:type="spellEnd"/>
      <w:r w:rsidRPr="003951ED">
        <w:rPr>
          <w:lang w:eastAsia="el-GR"/>
        </w:rPr>
        <w:t xml:space="preserve">, 1984). Οι δράσεις που υλοποιήθηκαν φαίνεται να δημιούργησαν αυθεντικά μαθησιακά περιβάλλοντα, </w:t>
      </w:r>
      <w:r w:rsidR="002033B2" w:rsidRPr="002033B2">
        <w:rPr>
          <w:color w:val="EE0000"/>
          <w:lang w:eastAsia="el-GR"/>
        </w:rPr>
        <w:t>όπου</w:t>
      </w:r>
      <w:r w:rsidRPr="003951ED">
        <w:rPr>
          <w:lang w:eastAsia="el-GR"/>
        </w:rPr>
        <w:t xml:space="preserve"> οι </w:t>
      </w:r>
      <w:r w:rsidRPr="00DF457A">
        <w:rPr>
          <w:color w:val="FF0000"/>
          <w:lang w:eastAsia="el-GR"/>
        </w:rPr>
        <w:t xml:space="preserve">μαθητές </w:t>
      </w:r>
      <w:r w:rsidRPr="003951ED">
        <w:rPr>
          <w:lang w:eastAsia="el-GR"/>
        </w:rPr>
        <w:t xml:space="preserve">συμμετείχαν ενεργά, ενισχύοντας τη </w:t>
      </w:r>
      <w:r w:rsidRPr="003951ED">
        <w:rPr>
          <w:lang w:eastAsia="el-GR"/>
        </w:rPr>
        <w:lastRenderedPageBreak/>
        <w:t>μαθησιακή τους εμπλοκή.</w:t>
      </w:r>
      <w:r w:rsidR="00004EC3" w:rsidRPr="003951ED">
        <w:rPr>
          <w:lang w:eastAsia="el-GR"/>
        </w:rPr>
        <w:t xml:space="preserve"> Τα ευρήματα της παρούσας μελέτης αναδεικνύουν τη σημασία της μετατόπισης από παραδοσιακές διδακτικές πρακτικές σε πιο ανοιχτά, συμμετοχικά και βιωματικά μαθησιακά περιβάλλοντα, τα οποία ανταποκρίνονται στις σύγχρονες εκπαιδευτικές απαιτήσεις.</w:t>
      </w:r>
    </w:p>
    <w:p w14:paraId="5353864B" w14:textId="4DD128C5" w:rsidR="0040780B" w:rsidRPr="003951ED" w:rsidRDefault="0040780B" w:rsidP="006F56A8">
      <w:pPr>
        <w:spacing w:after="0" w:line="240" w:lineRule="auto"/>
        <w:ind w:firstLine="284"/>
        <w:jc w:val="both"/>
        <w:rPr>
          <w:lang w:eastAsia="el-GR"/>
        </w:rPr>
      </w:pPr>
      <w:r w:rsidRPr="003951ED">
        <w:rPr>
          <w:lang w:eastAsia="el-GR"/>
        </w:rPr>
        <w:t xml:space="preserve">Ιδιαίτερα σημαντική είναι η διαπίστωση ότι οι δράσεις </w:t>
      </w:r>
      <w:r w:rsidR="002033B2" w:rsidRPr="002033B2">
        <w:rPr>
          <w:color w:val="EE0000"/>
          <w:lang w:eastAsia="el-GR"/>
        </w:rPr>
        <w:t>ενδυνάμωσαν</w:t>
      </w:r>
      <w:r w:rsidRPr="003951ED">
        <w:rPr>
          <w:lang w:eastAsia="el-GR"/>
        </w:rPr>
        <w:t xml:space="preserve"> τη</w:t>
      </w:r>
      <w:r w:rsidR="002033B2">
        <w:rPr>
          <w:lang w:eastAsia="el-GR"/>
        </w:rPr>
        <w:t>ν</w:t>
      </w:r>
      <w:r w:rsidRPr="003951ED">
        <w:rPr>
          <w:lang w:eastAsia="el-GR"/>
        </w:rPr>
        <w:t xml:space="preserve"> ενεργ</w:t>
      </w:r>
      <w:r w:rsidR="002033B2">
        <w:rPr>
          <w:lang w:eastAsia="el-GR"/>
        </w:rPr>
        <w:t>ή</w:t>
      </w:r>
      <w:r w:rsidRPr="003951ED">
        <w:rPr>
          <w:lang w:eastAsia="el-GR"/>
        </w:rPr>
        <w:t xml:space="preserve"> συμμετοχή των </w:t>
      </w:r>
      <w:r w:rsidRPr="00DF457A">
        <w:rPr>
          <w:color w:val="FF0000"/>
          <w:lang w:eastAsia="el-GR"/>
        </w:rPr>
        <w:t>μαθητών</w:t>
      </w:r>
      <w:r w:rsidRPr="003951ED">
        <w:rPr>
          <w:lang w:eastAsia="el-GR"/>
        </w:rPr>
        <w:t>. Το εύρημα αυτό επιβεβαιώνει τη διεθνή βιβλιογραφία, σύμφωνα με την οποία οι ενεργητικές μορφές μάθησης οδηγούν σε υψηλότερα επίπεδα κατανόησης και συμμετοχής (</w:t>
      </w:r>
      <w:proofErr w:type="spellStart"/>
      <w:r w:rsidRPr="003951ED">
        <w:rPr>
          <w:lang w:eastAsia="el-GR"/>
        </w:rPr>
        <w:t>Freeman</w:t>
      </w:r>
      <w:proofErr w:type="spellEnd"/>
      <w:r w:rsidRPr="003951ED">
        <w:rPr>
          <w:lang w:eastAsia="el-GR"/>
        </w:rPr>
        <w:t xml:space="preserve"> </w:t>
      </w:r>
      <w:proofErr w:type="spellStart"/>
      <w:r w:rsidRPr="003951ED">
        <w:rPr>
          <w:lang w:eastAsia="el-GR"/>
        </w:rPr>
        <w:t>et</w:t>
      </w:r>
      <w:proofErr w:type="spellEnd"/>
      <w:r w:rsidRPr="003951ED">
        <w:rPr>
          <w:lang w:eastAsia="el-GR"/>
        </w:rPr>
        <w:t xml:space="preserve"> </w:t>
      </w:r>
      <w:proofErr w:type="spellStart"/>
      <w:r w:rsidRPr="003951ED">
        <w:rPr>
          <w:lang w:eastAsia="el-GR"/>
        </w:rPr>
        <w:t>al</w:t>
      </w:r>
      <w:proofErr w:type="spellEnd"/>
      <w:r w:rsidRPr="003951ED">
        <w:rPr>
          <w:lang w:eastAsia="el-GR"/>
        </w:rPr>
        <w:t xml:space="preserve">., 2014· </w:t>
      </w:r>
      <w:proofErr w:type="spellStart"/>
      <w:r w:rsidRPr="003951ED">
        <w:rPr>
          <w:lang w:eastAsia="el-GR"/>
        </w:rPr>
        <w:t>Prince</w:t>
      </w:r>
      <w:proofErr w:type="spellEnd"/>
      <w:r w:rsidRPr="003951ED">
        <w:rPr>
          <w:lang w:eastAsia="el-GR"/>
        </w:rPr>
        <w:t xml:space="preserve">, 2004). Η εμπλοκή των </w:t>
      </w:r>
      <w:r w:rsidRPr="00DF457A">
        <w:rPr>
          <w:color w:val="FF0000"/>
          <w:lang w:eastAsia="el-GR"/>
        </w:rPr>
        <w:t>μαθητών</w:t>
      </w:r>
      <w:r w:rsidRPr="003951ED">
        <w:rPr>
          <w:lang w:eastAsia="el-GR"/>
        </w:rPr>
        <w:t xml:space="preserve"> σε δραστηριότητες που απαιτούν δράση, συνεργασία και δημιουργική σκέψη φαίνεται να </w:t>
      </w:r>
      <w:r w:rsidR="002033B2" w:rsidRPr="002033B2">
        <w:rPr>
          <w:color w:val="EE0000"/>
          <w:lang w:eastAsia="el-GR"/>
        </w:rPr>
        <w:t>τονώνει</w:t>
      </w:r>
      <w:r w:rsidRPr="003951ED">
        <w:rPr>
          <w:lang w:eastAsia="el-GR"/>
        </w:rPr>
        <w:t xml:space="preserve"> το ενδιαφέρον τους για τη μαθησιακή διαδικασία.</w:t>
      </w:r>
    </w:p>
    <w:p w14:paraId="4653D964" w14:textId="3F9DB7F1" w:rsidR="0040780B" w:rsidRPr="003951ED" w:rsidRDefault="0040780B" w:rsidP="006F56A8">
      <w:pPr>
        <w:spacing w:after="0" w:line="240" w:lineRule="auto"/>
        <w:ind w:firstLine="284"/>
        <w:jc w:val="both"/>
        <w:rPr>
          <w:lang w:eastAsia="el-GR"/>
        </w:rPr>
      </w:pPr>
      <w:r w:rsidRPr="003951ED">
        <w:rPr>
          <w:lang w:eastAsia="el-GR"/>
        </w:rPr>
        <w:t xml:space="preserve">Παράλληλα, η ανάπτυξη συνεργατικών δεξιοτήτων αποτελεί ένα ακόμη σημαντικό εύρημα της μελέτης. Οι δράσεις, μέσα από την </w:t>
      </w:r>
      <w:proofErr w:type="spellStart"/>
      <w:r w:rsidRPr="003951ED">
        <w:rPr>
          <w:lang w:eastAsia="el-GR"/>
        </w:rPr>
        <w:t>ομαδοσυνεργατική</w:t>
      </w:r>
      <w:proofErr w:type="spellEnd"/>
      <w:r w:rsidRPr="003951ED">
        <w:rPr>
          <w:lang w:eastAsia="el-GR"/>
        </w:rPr>
        <w:t xml:space="preserve"> τους φύση, </w:t>
      </w:r>
      <w:r w:rsidR="002033B2" w:rsidRPr="002033B2">
        <w:rPr>
          <w:color w:val="EE0000"/>
          <w:lang w:eastAsia="el-GR"/>
        </w:rPr>
        <w:t>υποστήριξαν</w:t>
      </w:r>
      <w:r w:rsidRPr="003951ED">
        <w:rPr>
          <w:lang w:eastAsia="el-GR"/>
        </w:rPr>
        <w:t xml:space="preserve"> την επικοινωνία, τη συνεργασία και τον αμοιβαίο σεβασμό μεταξύ των </w:t>
      </w:r>
      <w:r w:rsidRPr="00DF457A">
        <w:rPr>
          <w:color w:val="FF0000"/>
          <w:lang w:eastAsia="el-GR"/>
        </w:rPr>
        <w:t>μαθητών</w:t>
      </w:r>
      <w:r w:rsidRPr="003951ED">
        <w:rPr>
          <w:lang w:eastAsia="el-GR"/>
        </w:rPr>
        <w:t xml:space="preserve">. Το αποτέλεσμα αυτό συνδέεται άμεσα με την </w:t>
      </w:r>
      <w:proofErr w:type="spellStart"/>
      <w:r w:rsidRPr="003951ED">
        <w:rPr>
          <w:lang w:eastAsia="el-GR"/>
        </w:rPr>
        <w:t>κοινωνικοπολιτισμική</w:t>
      </w:r>
      <w:proofErr w:type="spellEnd"/>
      <w:r w:rsidRPr="003951ED">
        <w:rPr>
          <w:lang w:eastAsia="el-GR"/>
        </w:rPr>
        <w:t xml:space="preserve"> θεωρία του </w:t>
      </w:r>
      <w:proofErr w:type="spellStart"/>
      <w:r w:rsidRPr="003951ED">
        <w:rPr>
          <w:lang w:eastAsia="el-GR"/>
        </w:rPr>
        <w:t>Vygotsky</w:t>
      </w:r>
      <w:proofErr w:type="spellEnd"/>
      <w:r w:rsidRPr="003951ED">
        <w:rPr>
          <w:lang w:eastAsia="el-GR"/>
        </w:rPr>
        <w:t xml:space="preserve"> (1978), η οποία τονίζει τον ρόλο της κοινωνικής αλληλεπίδρασης στη μάθηση, καθώς και με έρευνες που αναδεικνύουν τη συμβολή της συνεργατικής μάθησης στην ανάπτυξη κοινωνικών και γνωστικών δεξιοτήτων (Johnson &amp; Johnson, 2009· </w:t>
      </w:r>
      <w:proofErr w:type="spellStart"/>
      <w:r w:rsidRPr="003951ED">
        <w:rPr>
          <w:lang w:eastAsia="el-GR"/>
        </w:rPr>
        <w:t>Slavin</w:t>
      </w:r>
      <w:proofErr w:type="spellEnd"/>
      <w:r w:rsidRPr="003951ED">
        <w:rPr>
          <w:lang w:eastAsia="el-GR"/>
        </w:rPr>
        <w:t>, 2014).</w:t>
      </w:r>
    </w:p>
    <w:p w14:paraId="19C7AB9F" w14:textId="3F0CBD3C" w:rsidR="0040780B" w:rsidRPr="003951ED" w:rsidRDefault="0040780B" w:rsidP="006F56A8">
      <w:pPr>
        <w:spacing w:after="0" w:line="240" w:lineRule="auto"/>
        <w:ind w:firstLine="284"/>
        <w:jc w:val="both"/>
        <w:rPr>
          <w:lang w:eastAsia="el-GR"/>
        </w:rPr>
      </w:pPr>
      <w:r w:rsidRPr="003951ED">
        <w:rPr>
          <w:lang w:eastAsia="el-GR"/>
        </w:rPr>
        <w:t>Επιπλέον, η ενίσχυση της δημιουργικότητας των μαθητών</w:t>
      </w:r>
      <w:r w:rsidR="00294502">
        <w:rPr>
          <w:lang w:eastAsia="el-GR"/>
        </w:rPr>
        <w:t>/τριών</w:t>
      </w:r>
      <w:r w:rsidRPr="003951ED">
        <w:rPr>
          <w:lang w:eastAsia="el-GR"/>
        </w:rPr>
        <w:t xml:space="preserve"> αποτελεί ένα από τα πιο σημαντικά αποτελέσματα της παρέμβασης. Η συμμετοχή σε καλλιτεχνικές και πολιτιστικές δραστηριότητες παρείχε </w:t>
      </w:r>
      <w:r w:rsidR="00294502" w:rsidRPr="00DF457A">
        <w:rPr>
          <w:color w:val="FF0000"/>
          <w:lang w:eastAsia="el-GR"/>
        </w:rPr>
        <w:t>στους</w:t>
      </w:r>
      <w:r w:rsidRPr="00DF457A">
        <w:rPr>
          <w:color w:val="FF0000"/>
          <w:lang w:eastAsia="el-GR"/>
        </w:rPr>
        <w:t xml:space="preserve"> μαθητές </w:t>
      </w:r>
      <w:r w:rsidRPr="003951ED">
        <w:rPr>
          <w:lang w:eastAsia="el-GR"/>
        </w:rPr>
        <w:t>ευκαιρίες έκφρασης και ανάπτυξης της φαντασίας τους, γεγονός που επιβεβαιώνει τα ευρήματα προηγούμενων μελετών σχετικά με τον ρόλο των τεχνών στη γνωστική και συναισθηματική ανάπτυξη (</w:t>
      </w:r>
      <w:proofErr w:type="spellStart"/>
      <w:r w:rsidRPr="003951ED">
        <w:rPr>
          <w:lang w:eastAsia="el-GR"/>
        </w:rPr>
        <w:t>Eisner</w:t>
      </w:r>
      <w:proofErr w:type="spellEnd"/>
      <w:r w:rsidRPr="003951ED">
        <w:rPr>
          <w:lang w:eastAsia="el-GR"/>
        </w:rPr>
        <w:t xml:space="preserve">, 2002· </w:t>
      </w:r>
      <w:proofErr w:type="spellStart"/>
      <w:r w:rsidRPr="003951ED">
        <w:rPr>
          <w:lang w:eastAsia="el-GR"/>
        </w:rPr>
        <w:t>Winner</w:t>
      </w:r>
      <w:proofErr w:type="spellEnd"/>
      <w:r w:rsidR="00201B25" w:rsidRPr="00201B25">
        <w:rPr>
          <w:lang w:eastAsia="el-GR"/>
        </w:rPr>
        <w:t xml:space="preserve"> </w:t>
      </w:r>
      <w:r w:rsidR="00201B25">
        <w:rPr>
          <w:lang w:val="en-US" w:eastAsia="el-GR"/>
        </w:rPr>
        <w:t>et</w:t>
      </w:r>
      <w:r w:rsidR="00201B25" w:rsidRPr="00201B25">
        <w:rPr>
          <w:lang w:eastAsia="el-GR"/>
        </w:rPr>
        <w:t xml:space="preserve">. </w:t>
      </w:r>
      <w:r w:rsidR="00201B25">
        <w:rPr>
          <w:lang w:val="en-US" w:eastAsia="el-GR"/>
        </w:rPr>
        <w:t>al</w:t>
      </w:r>
      <w:r w:rsidR="00201B25" w:rsidRPr="00201B25">
        <w:rPr>
          <w:lang w:eastAsia="el-GR"/>
        </w:rPr>
        <w:t>.</w:t>
      </w:r>
      <w:r w:rsidR="00B0391F">
        <w:rPr>
          <w:lang w:eastAsia="el-GR"/>
        </w:rPr>
        <w:t>,</w:t>
      </w:r>
      <w:r w:rsidR="00B0391F" w:rsidRPr="00B0391F">
        <w:rPr>
          <w:lang w:eastAsia="el-GR"/>
        </w:rPr>
        <w:t xml:space="preserve"> </w:t>
      </w:r>
      <w:r w:rsidRPr="003951ED">
        <w:rPr>
          <w:lang w:eastAsia="el-GR"/>
        </w:rPr>
        <w:t xml:space="preserve">2013). Παράλληλα, η αξιοποίηση διαφορετικών μορφών δραστηριοτήτων συνάδει με τη θεωρία των πολλαπλών </w:t>
      </w:r>
      <w:proofErr w:type="spellStart"/>
      <w:r w:rsidRPr="003951ED">
        <w:rPr>
          <w:lang w:eastAsia="el-GR"/>
        </w:rPr>
        <w:t>νοημοσυνών</w:t>
      </w:r>
      <w:proofErr w:type="spellEnd"/>
      <w:r w:rsidRPr="003951ED">
        <w:rPr>
          <w:lang w:eastAsia="el-GR"/>
        </w:rPr>
        <w:t xml:space="preserve"> (</w:t>
      </w:r>
      <w:proofErr w:type="spellStart"/>
      <w:r w:rsidRPr="003951ED">
        <w:rPr>
          <w:lang w:eastAsia="el-GR"/>
        </w:rPr>
        <w:t>Gardner</w:t>
      </w:r>
      <w:proofErr w:type="spellEnd"/>
      <w:r w:rsidRPr="003951ED">
        <w:rPr>
          <w:lang w:eastAsia="el-GR"/>
        </w:rPr>
        <w:t xml:space="preserve">, 1993), ενισχύοντας τη συμμετοχή </w:t>
      </w:r>
      <w:r w:rsidRPr="00DF457A">
        <w:rPr>
          <w:color w:val="FF0000"/>
          <w:lang w:eastAsia="el-GR"/>
        </w:rPr>
        <w:t>μαθητών</w:t>
      </w:r>
      <w:r w:rsidRPr="003951ED">
        <w:rPr>
          <w:lang w:eastAsia="el-GR"/>
        </w:rPr>
        <w:t xml:space="preserve"> με διαφορετικά μαθησιακά προφίλ.</w:t>
      </w:r>
    </w:p>
    <w:p w14:paraId="1C0FA185" w14:textId="66C47685" w:rsidR="0040780B" w:rsidRPr="003951ED" w:rsidRDefault="0040780B" w:rsidP="006F56A8">
      <w:pPr>
        <w:spacing w:after="0" w:line="240" w:lineRule="auto"/>
        <w:ind w:firstLine="284"/>
        <w:jc w:val="both"/>
        <w:rPr>
          <w:lang w:eastAsia="el-GR"/>
        </w:rPr>
      </w:pPr>
      <w:r w:rsidRPr="003951ED">
        <w:rPr>
          <w:lang w:eastAsia="el-GR"/>
        </w:rPr>
        <w:t xml:space="preserve">Αξιοσημείωτη είναι και η συμβολή των δράσεων στη διαμόρφωση θετικής στάσης των </w:t>
      </w:r>
      <w:r w:rsidRPr="00DF457A">
        <w:rPr>
          <w:color w:val="FF0000"/>
          <w:lang w:eastAsia="el-GR"/>
        </w:rPr>
        <w:t>μαθητών</w:t>
      </w:r>
      <w:r w:rsidRPr="003951ED">
        <w:rPr>
          <w:lang w:eastAsia="el-GR"/>
        </w:rPr>
        <w:t xml:space="preserve"> απέναντι στο σχολείο. Οι βιωματικές εμπειρίες φαίνεται να ενισχύουν την εσωτερική παρακίνηση και την </w:t>
      </w:r>
      <w:proofErr w:type="spellStart"/>
      <w:r w:rsidRPr="003951ED">
        <w:rPr>
          <w:lang w:eastAsia="el-GR"/>
        </w:rPr>
        <w:t>αυτοαποτελεσματικότητα</w:t>
      </w:r>
      <w:proofErr w:type="spellEnd"/>
      <w:r w:rsidRPr="003951ED">
        <w:rPr>
          <w:lang w:eastAsia="el-GR"/>
        </w:rPr>
        <w:t xml:space="preserve"> των μαθητών</w:t>
      </w:r>
      <w:r w:rsidR="00294502">
        <w:rPr>
          <w:lang w:eastAsia="el-GR"/>
        </w:rPr>
        <w:t>/τριών</w:t>
      </w:r>
      <w:r w:rsidRPr="003951ED">
        <w:rPr>
          <w:lang w:eastAsia="el-GR"/>
        </w:rPr>
        <w:t xml:space="preserve"> (</w:t>
      </w:r>
      <w:proofErr w:type="spellStart"/>
      <w:r w:rsidRPr="003951ED">
        <w:rPr>
          <w:lang w:eastAsia="el-GR"/>
        </w:rPr>
        <w:t>Bandura</w:t>
      </w:r>
      <w:proofErr w:type="spellEnd"/>
      <w:r w:rsidRPr="003951ED">
        <w:rPr>
          <w:lang w:eastAsia="el-GR"/>
        </w:rPr>
        <w:t xml:space="preserve">, 1997· </w:t>
      </w:r>
      <w:proofErr w:type="spellStart"/>
      <w:r w:rsidRPr="003951ED">
        <w:rPr>
          <w:lang w:eastAsia="el-GR"/>
        </w:rPr>
        <w:t>Ryan</w:t>
      </w:r>
      <w:proofErr w:type="spellEnd"/>
      <w:r w:rsidRPr="003951ED">
        <w:rPr>
          <w:lang w:eastAsia="el-GR"/>
        </w:rPr>
        <w:t xml:space="preserve"> &amp; </w:t>
      </w:r>
      <w:proofErr w:type="spellStart"/>
      <w:r w:rsidRPr="003951ED">
        <w:rPr>
          <w:lang w:eastAsia="el-GR"/>
        </w:rPr>
        <w:t>Deci</w:t>
      </w:r>
      <w:proofErr w:type="spellEnd"/>
      <w:r w:rsidRPr="003951ED">
        <w:rPr>
          <w:lang w:eastAsia="el-GR"/>
        </w:rPr>
        <w:t>, 2000), δημιουργώντας ένα πιο ελκυστικό και υποστηρικτικό μαθησιακό περιβάλλον.</w:t>
      </w:r>
    </w:p>
    <w:p w14:paraId="01080CA9" w14:textId="1A03B059" w:rsidR="0040780B" w:rsidRDefault="0040780B" w:rsidP="006F56A8">
      <w:pPr>
        <w:spacing w:after="0" w:line="240" w:lineRule="auto"/>
        <w:ind w:firstLine="284"/>
        <w:jc w:val="both"/>
        <w:rPr>
          <w:lang w:eastAsia="el-GR"/>
        </w:rPr>
      </w:pPr>
      <w:r w:rsidRPr="003951ED">
        <w:rPr>
          <w:lang w:eastAsia="el-GR"/>
        </w:rPr>
        <w:t xml:space="preserve">Συνολικά, τα αποτελέσματα της μελέτης υποστηρίζουν την ανάγκη ενίσχυσης των διαθεματικών και βιωματικών δράσεων στο σχολικό πρόγραμμα. Η αξιοποίηση τέτοιων πρακτικών μπορεί να συμβάλει ουσιαστικά στη βελτίωση της μαθησιακής διαδικασίας και στην ανάπτυξη βασικών δεξιοτήτων των </w:t>
      </w:r>
      <w:r w:rsidRPr="00DF457A">
        <w:rPr>
          <w:color w:val="FF0000"/>
          <w:lang w:eastAsia="el-GR"/>
        </w:rPr>
        <w:t>μαθητών</w:t>
      </w:r>
      <w:r w:rsidRPr="003951ED">
        <w:rPr>
          <w:lang w:eastAsia="el-GR"/>
        </w:rPr>
        <w:t>, ανταποκρινόμενη στις απαιτήσεις της σύγχρονης εκπαίδευσης.</w:t>
      </w:r>
      <w:r w:rsidR="00004EC3" w:rsidRPr="003951ED">
        <w:rPr>
          <w:lang w:eastAsia="el-GR"/>
        </w:rPr>
        <w:t xml:space="preserve"> Παρά τους περιορισμούς, τα ευρήματα της μελέτης παρέχουν χρήσιμες ενδείξεις για τον σχεδιασμό και την υλοποίηση παρόμοιων εκπαιδευτικών παρεμβάσεων</w:t>
      </w:r>
      <w:r w:rsidR="00294502">
        <w:rPr>
          <w:lang w:eastAsia="el-GR"/>
        </w:rPr>
        <w:t>.</w:t>
      </w:r>
    </w:p>
    <w:p w14:paraId="20D0ACE5" w14:textId="77777777" w:rsidR="0000206A" w:rsidRPr="0000206A" w:rsidRDefault="0000206A" w:rsidP="0000206A">
      <w:pPr>
        <w:spacing w:before="240" w:after="0" w:line="240" w:lineRule="auto"/>
        <w:ind w:firstLine="284"/>
        <w:jc w:val="both"/>
        <w:rPr>
          <w:i/>
          <w:color w:val="FF0000"/>
          <w:lang w:eastAsia="el-GR"/>
        </w:rPr>
      </w:pPr>
      <w:r w:rsidRPr="0000206A">
        <w:rPr>
          <w:i/>
          <w:color w:val="FF0000"/>
          <w:lang w:eastAsia="el-GR"/>
        </w:rPr>
        <w:t>Περιορισμοί της έρευνας</w:t>
      </w:r>
    </w:p>
    <w:p w14:paraId="2FB2A495" w14:textId="77777777" w:rsidR="00EF71E1" w:rsidRPr="00EF71E1" w:rsidRDefault="0000206A" w:rsidP="0000206A">
      <w:pPr>
        <w:spacing w:after="0" w:line="240" w:lineRule="auto"/>
        <w:ind w:firstLine="284"/>
        <w:jc w:val="both"/>
        <w:rPr>
          <w:color w:val="FF0000"/>
          <w:lang w:eastAsia="el-GR"/>
        </w:rPr>
      </w:pPr>
      <w:r w:rsidRPr="00EF71E1">
        <w:rPr>
          <w:color w:val="FF0000"/>
          <w:lang w:eastAsia="el-GR"/>
        </w:rPr>
        <w:t>Η παρούσα έρευνα παρουσιάζει ορισμένους περιορισμούς που θα πρέπει να ληφθούν υπόψη. Συγκεκριμένα, το μικρό μέγεθος του δείγματος και η χρήση ευκαιριακής δειγματοληψίας περιορίζουν τη δυνατότητα γενίκευσης των αποτελεσμάτων (</w:t>
      </w:r>
      <w:r w:rsidRPr="00EF71E1">
        <w:rPr>
          <w:color w:val="FF0000"/>
          <w:lang w:val="en-US" w:eastAsia="el-GR"/>
        </w:rPr>
        <w:t>Robson</w:t>
      </w:r>
      <w:r w:rsidRPr="00EF71E1">
        <w:rPr>
          <w:color w:val="FF0000"/>
          <w:lang w:eastAsia="el-GR"/>
        </w:rPr>
        <w:t>, 2010).</w:t>
      </w:r>
    </w:p>
    <w:p w14:paraId="5141A854" w14:textId="64853C54" w:rsidR="00EF71E1" w:rsidRPr="00EF71E1" w:rsidRDefault="0000206A" w:rsidP="00EF71E1">
      <w:pPr>
        <w:spacing w:after="0" w:line="240" w:lineRule="auto"/>
        <w:jc w:val="both"/>
        <w:rPr>
          <w:color w:val="FF0000"/>
          <w:lang w:eastAsia="el-GR"/>
        </w:rPr>
      </w:pPr>
      <w:r w:rsidRPr="00EF71E1">
        <w:rPr>
          <w:color w:val="FF0000"/>
          <w:lang w:eastAsia="el-GR"/>
        </w:rPr>
        <w:t xml:space="preserve">Επιπλέον, η έλλειψη δεδομένων από </w:t>
      </w:r>
      <w:r w:rsidR="00A72D16">
        <w:rPr>
          <w:color w:val="FF0000"/>
          <w:lang w:eastAsia="el-GR"/>
        </w:rPr>
        <w:t xml:space="preserve">απαντήσεις </w:t>
      </w:r>
      <w:r w:rsidRPr="00EF71E1">
        <w:rPr>
          <w:color w:val="FF0000"/>
          <w:lang w:eastAsia="el-GR"/>
        </w:rPr>
        <w:t>μαθητ</w:t>
      </w:r>
      <w:r w:rsidR="00A72D16">
        <w:rPr>
          <w:color w:val="FF0000"/>
          <w:lang w:eastAsia="el-GR"/>
        </w:rPr>
        <w:t>ών</w:t>
      </w:r>
      <w:r w:rsidRPr="00EF71E1">
        <w:rPr>
          <w:color w:val="FF0000"/>
          <w:lang w:eastAsia="el-GR"/>
        </w:rPr>
        <w:t xml:space="preserve"> δεν επιτρέπει την πολυδιάστατη αποτίμηση των </w:t>
      </w:r>
      <w:r w:rsidR="00197DCE" w:rsidRPr="00197DCE">
        <w:rPr>
          <w:color w:val="FF0000"/>
          <w:lang w:eastAsia="el-GR"/>
        </w:rPr>
        <w:t>εκπαιδευτικών</w:t>
      </w:r>
      <w:r w:rsidR="00197DCE">
        <w:rPr>
          <w:color w:val="FF0000"/>
          <w:lang w:eastAsia="el-GR"/>
        </w:rPr>
        <w:t xml:space="preserve"> </w:t>
      </w:r>
      <w:r w:rsidRPr="00EF71E1">
        <w:rPr>
          <w:color w:val="FF0000"/>
          <w:lang w:eastAsia="el-GR"/>
        </w:rPr>
        <w:t>δράσεων.</w:t>
      </w:r>
      <w:r w:rsidR="00EF71E1" w:rsidRPr="00EF71E1">
        <w:rPr>
          <w:color w:val="FF0000"/>
          <w:lang w:eastAsia="el-GR"/>
        </w:rPr>
        <w:t xml:space="preserve"> </w:t>
      </w:r>
    </w:p>
    <w:p w14:paraId="3627AA31" w14:textId="46DAC197" w:rsidR="00EF71E1" w:rsidRPr="00EF71E1" w:rsidRDefault="00EF71E1" w:rsidP="00EF71E1">
      <w:pPr>
        <w:spacing w:after="0" w:line="240" w:lineRule="auto"/>
        <w:ind w:firstLine="284"/>
        <w:jc w:val="both"/>
        <w:rPr>
          <w:color w:val="FF0000"/>
          <w:lang w:eastAsia="el-GR"/>
        </w:rPr>
      </w:pPr>
      <w:r w:rsidRPr="00EF71E1">
        <w:rPr>
          <w:color w:val="FF0000"/>
          <w:lang w:eastAsia="el-GR"/>
        </w:rPr>
        <w:t xml:space="preserve">Επιπρόσθετα, ενδέχεται να υπάρχει μεροληψία, καθώς οι ίδιοι οι εκπαιδευτικοί συμμετείχαν τόσο στον σχεδιασμό και την υλοποίηση των δράσεων όσο και στην αξιολόγησή τους, γεγονός που μπορεί να επηρεάζει την αντικειμενικότητα των απαντήσεων. Η συλλογή δεδομένων μέσω </w:t>
      </w:r>
      <w:proofErr w:type="spellStart"/>
      <w:r w:rsidRPr="00EF71E1">
        <w:rPr>
          <w:color w:val="FF0000"/>
          <w:lang w:eastAsia="el-GR"/>
        </w:rPr>
        <w:t>αυτοαναφορών</w:t>
      </w:r>
      <w:proofErr w:type="spellEnd"/>
      <w:r w:rsidRPr="00EF71E1">
        <w:rPr>
          <w:color w:val="FF0000"/>
          <w:lang w:eastAsia="el-GR"/>
        </w:rPr>
        <w:t xml:space="preserve"> ενδέχεται επίσης να επηρεάζεται από υποκειμενικούς παράγοντες.</w:t>
      </w:r>
    </w:p>
    <w:p w14:paraId="2AB8F19E" w14:textId="77777777" w:rsidR="00EF71E1" w:rsidRPr="00EF71E1" w:rsidRDefault="00EF71E1" w:rsidP="00EF71E1">
      <w:pPr>
        <w:spacing w:after="0" w:line="240" w:lineRule="auto"/>
        <w:ind w:firstLine="284"/>
        <w:jc w:val="both"/>
        <w:rPr>
          <w:color w:val="FF0000"/>
          <w:lang w:eastAsia="el-GR"/>
        </w:rPr>
      </w:pPr>
      <w:r w:rsidRPr="00EF71E1">
        <w:rPr>
          <w:color w:val="FF0000"/>
          <w:lang w:eastAsia="el-GR"/>
        </w:rPr>
        <w:t xml:space="preserve">Ωστόσο, η χρήση μικτής μεθοδολογίας και η </w:t>
      </w:r>
      <w:proofErr w:type="spellStart"/>
      <w:r w:rsidRPr="00EF71E1">
        <w:rPr>
          <w:color w:val="FF0000"/>
          <w:lang w:eastAsia="el-GR"/>
        </w:rPr>
        <w:t>τριγωνοποίηση</w:t>
      </w:r>
      <w:proofErr w:type="spellEnd"/>
      <w:r w:rsidRPr="00EF71E1">
        <w:rPr>
          <w:color w:val="FF0000"/>
          <w:lang w:eastAsia="el-GR"/>
        </w:rPr>
        <w:t xml:space="preserve"> των δεδομένων συμβάλλουν στην ενίσχυση της αξιοπιστίας και της εγκυρότητας των ευρημάτων.</w:t>
      </w:r>
    </w:p>
    <w:p w14:paraId="2CDA6605" w14:textId="77777777" w:rsidR="0040780B" w:rsidRPr="006F56A8" w:rsidRDefault="0040780B" w:rsidP="006F56A8">
      <w:pPr>
        <w:spacing w:before="240" w:after="0" w:line="240" w:lineRule="auto"/>
        <w:ind w:firstLine="284"/>
        <w:jc w:val="both"/>
        <w:rPr>
          <w:b/>
          <w:lang w:eastAsia="el-GR"/>
        </w:rPr>
      </w:pPr>
      <w:r w:rsidRPr="006F56A8">
        <w:rPr>
          <w:b/>
          <w:lang w:eastAsia="el-GR"/>
        </w:rPr>
        <w:lastRenderedPageBreak/>
        <w:t>Συμπεράσματα</w:t>
      </w:r>
      <w:r w:rsidR="00004EC3" w:rsidRPr="006F56A8">
        <w:rPr>
          <w:b/>
          <w:lang w:eastAsia="el-GR"/>
        </w:rPr>
        <w:t xml:space="preserve"> και προεκτάσεις</w:t>
      </w:r>
    </w:p>
    <w:p w14:paraId="51889141" w14:textId="499DCB69" w:rsidR="0040780B" w:rsidRPr="003951ED" w:rsidRDefault="0040780B" w:rsidP="006F56A8">
      <w:pPr>
        <w:spacing w:after="0" w:line="240" w:lineRule="auto"/>
        <w:ind w:firstLine="284"/>
        <w:jc w:val="both"/>
        <w:rPr>
          <w:lang w:eastAsia="el-GR"/>
        </w:rPr>
      </w:pPr>
      <w:r w:rsidRPr="003951ED">
        <w:rPr>
          <w:lang w:eastAsia="el-GR"/>
        </w:rPr>
        <w:t xml:space="preserve">Η παρούσα μελέτη ανέδειξε τη σημαντική συμβολή των διαθεματικών δράσεων τέχνης, πολιτισμού, αθλητισμού και μαθηματικών στη μαθησιακή διαδικασία και στη συνολική ανάπτυξη των </w:t>
      </w:r>
      <w:r w:rsidRPr="00DF457A">
        <w:rPr>
          <w:color w:val="FF0000"/>
          <w:lang w:eastAsia="el-GR"/>
        </w:rPr>
        <w:t>μαθητών</w:t>
      </w:r>
      <w:r w:rsidRPr="003951ED">
        <w:rPr>
          <w:lang w:eastAsia="el-GR"/>
        </w:rPr>
        <w:t xml:space="preserve">. Τα ευρήματα, τόσο από την ποσοτική όσο και από την ποιοτική ανάλυση, καταδεικνύουν ότι οι δράσεις αυτές ενίσχυσαν ουσιαστικά την ενεργό συμμετοχή των </w:t>
      </w:r>
      <w:r w:rsidRPr="00DF457A">
        <w:rPr>
          <w:color w:val="FF0000"/>
          <w:lang w:eastAsia="el-GR"/>
        </w:rPr>
        <w:t>μαθητών</w:t>
      </w:r>
      <w:r w:rsidRPr="003951ED">
        <w:rPr>
          <w:lang w:eastAsia="el-GR"/>
        </w:rPr>
        <w:t>, τη συνεργασία, τη δημιουργικότητα και τη θετική στάση απέναντι στη μάθηση.</w:t>
      </w:r>
    </w:p>
    <w:p w14:paraId="7F393BDF" w14:textId="31F764EA" w:rsidR="0040780B" w:rsidRPr="003951ED" w:rsidRDefault="0040780B" w:rsidP="006F56A8">
      <w:pPr>
        <w:spacing w:after="0" w:line="240" w:lineRule="auto"/>
        <w:ind w:firstLine="284"/>
        <w:jc w:val="both"/>
        <w:rPr>
          <w:lang w:eastAsia="el-GR"/>
        </w:rPr>
      </w:pPr>
      <w:r w:rsidRPr="003951ED">
        <w:rPr>
          <w:lang w:eastAsia="el-GR"/>
        </w:rPr>
        <w:t xml:space="preserve">Η υψηλή αξιολόγηση των δράσεων από </w:t>
      </w:r>
      <w:r w:rsidR="00294502" w:rsidRPr="00DF457A">
        <w:rPr>
          <w:color w:val="FF0000"/>
          <w:lang w:eastAsia="el-GR"/>
        </w:rPr>
        <w:t>τους</w:t>
      </w:r>
      <w:r w:rsidRPr="003951ED">
        <w:rPr>
          <w:lang w:eastAsia="el-GR"/>
        </w:rPr>
        <w:t xml:space="preserve"> εκπαιδευτικούς υποδηλώνει ότι οι βιωματικές και διαθεματικές προσεγγίσεις μπορούν να λειτουργήσουν ως αποτελεσματικά παιδαγωγικά εργαλεία στο σύγχρονο σχολείο. Η ενεργή εμπλοκή των </w:t>
      </w:r>
      <w:r w:rsidRPr="00DF457A">
        <w:rPr>
          <w:color w:val="FF0000"/>
          <w:lang w:eastAsia="el-GR"/>
        </w:rPr>
        <w:t>μαθητών</w:t>
      </w:r>
      <w:r w:rsidRPr="003951ED">
        <w:rPr>
          <w:lang w:eastAsia="el-GR"/>
        </w:rPr>
        <w:t xml:space="preserve"> σε αυθεντικές μαθησιακές εμπειρίες φαίνεται να </w:t>
      </w:r>
      <w:r w:rsidR="00A72D16" w:rsidRPr="00A72D16">
        <w:rPr>
          <w:color w:val="EE0000"/>
          <w:lang w:eastAsia="el-GR"/>
        </w:rPr>
        <w:t>βοηθάει</w:t>
      </w:r>
      <w:r w:rsidR="00294502">
        <w:rPr>
          <w:lang w:eastAsia="el-GR"/>
        </w:rPr>
        <w:t>,</w:t>
      </w:r>
      <w:r w:rsidRPr="003951ED">
        <w:rPr>
          <w:lang w:eastAsia="el-GR"/>
        </w:rPr>
        <w:t xml:space="preserve"> όχι μόνο στην κατανόηση της γνώσης, αλλά και στην ανάπτυξη βασικών κοινωνικών και συναισθηματικών δεξιοτήτων.</w:t>
      </w:r>
    </w:p>
    <w:p w14:paraId="51BAC6A8" w14:textId="77777777" w:rsidR="0040780B" w:rsidRPr="003951ED" w:rsidRDefault="0040780B" w:rsidP="006F56A8">
      <w:pPr>
        <w:spacing w:after="0" w:line="240" w:lineRule="auto"/>
        <w:ind w:firstLine="284"/>
        <w:jc w:val="both"/>
        <w:rPr>
          <w:lang w:eastAsia="el-GR"/>
        </w:rPr>
      </w:pPr>
      <w:r w:rsidRPr="003951ED">
        <w:rPr>
          <w:lang w:eastAsia="el-GR"/>
        </w:rPr>
        <w:t>Παράλληλα, η σύγκλιση των ευρημάτων με τη διεθνή και ελληνική βιβλιογραφία ενισχύει την εγκυρότητα της μελέτης και επιβεβαιώνει τη σημασία της ενσωμάτωσης τέτοιων δράσεων στο σχολικό πρόγραμμα. Ωστόσο, οι περιορισμοί της έρευνας, όπως το μικρό μέγεθος δείγματος και η χρήση ευκαιριακής δειγματοληψίας, επισημαίνουν την ανάγκη περαιτέρω διερεύνησης του θέματος.</w:t>
      </w:r>
    </w:p>
    <w:p w14:paraId="0564038F" w14:textId="77777777" w:rsidR="0040780B" w:rsidRPr="003951ED" w:rsidRDefault="0040780B" w:rsidP="006F56A8">
      <w:pPr>
        <w:spacing w:before="240" w:after="0" w:line="240" w:lineRule="auto"/>
        <w:ind w:firstLine="284"/>
        <w:jc w:val="both"/>
        <w:rPr>
          <w:i/>
          <w:lang w:eastAsia="el-GR"/>
        </w:rPr>
      </w:pPr>
      <w:r w:rsidRPr="003951ED">
        <w:rPr>
          <w:i/>
          <w:lang w:eastAsia="el-GR"/>
        </w:rPr>
        <w:t>Εκπαιδευτικές προτάσεις</w:t>
      </w:r>
    </w:p>
    <w:p w14:paraId="68E94755" w14:textId="57710048" w:rsidR="0040780B" w:rsidRPr="003951ED" w:rsidRDefault="0040780B" w:rsidP="006F56A8">
      <w:pPr>
        <w:spacing w:after="0" w:line="240" w:lineRule="auto"/>
        <w:ind w:firstLine="284"/>
        <w:jc w:val="both"/>
        <w:rPr>
          <w:lang w:eastAsia="el-GR"/>
        </w:rPr>
      </w:pPr>
      <w:r w:rsidRPr="003951ED">
        <w:rPr>
          <w:lang w:eastAsia="el-GR"/>
        </w:rPr>
        <w:t xml:space="preserve">Με βάση τα ευρήματα της έρευνας, προτείνονται </w:t>
      </w:r>
      <w:r w:rsidR="00DE1A50" w:rsidRPr="003951ED">
        <w:rPr>
          <w:lang w:eastAsia="el-GR"/>
        </w:rPr>
        <w:t>η</w:t>
      </w:r>
      <w:r w:rsidRPr="003951ED">
        <w:rPr>
          <w:lang w:eastAsia="el-GR"/>
        </w:rPr>
        <w:t xml:space="preserve"> συστηματική ενσωμάτωση διαθεματικών δράσεων στο αναλυτικό πρόγραμμα, με στόχο τη σύνδ</w:t>
      </w:r>
      <w:r w:rsidR="00DE1A50" w:rsidRPr="003951ED">
        <w:rPr>
          <w:lang w:eastAsia="el-GR"/>
        </w:rPr>
        <w:t>εση της γνώσης με την εμπειρία και η</w:t>
      </w:r>
      <w:r w:rsidRPr="003951ED">
        <w:rPr>
          <w:lang w:eastAsia="el-GR"/>
        </w:rPr>
        <w:t xml:space="preserve"> ενίσχυση της βιωματικής μάθησης μέσω δραστηριοτήτων που προάγουν τη συμμετοχή και τη δημιουργικότητα των </w:t>
      </w:r>
      <w:r w:rsidRPr="00DF457A">
        <w:rPr>
          <w:color w:val="FF0000"/>
          <w:lang w:eastAsia="el-GR"/>
        </w:rPr>
        <w:t>μαθητών</w:t>
      </w:r>
      <w:r w:rsidRPr="003951ED">
        <w:rPr>
          <w:lang w:eastAsia="el-GR"/>
        </w:rPr>
        <w:t xml:space="preserve">. </w:t>
      </w:r>
      <w:r w:rsidR="00DE1A50" w:rsidRPr="003951ED">
        <w:rPr>
          <w:lang w:eastAsia="el-GR"/>
        </w:rPr>
        <w:t>Επιπλέον</w:t>
      </w:r>
      <w:r w:rsidR="00A72D16" w:rsidRPr="00A72D16">
        <w:rPr>
          <w:color w:val="EE0000"/>
          <w:lang w:eastAsia="el-GR"/>
        </w:rPr>
        <w:t>,</w:t>
      </w:r>
      <w:r w:rsidR="00DE1A50" w:rsidRPr="003951ED">
        <w:rPr>
          <w:lang w:eastAsia="el-GR"/>
        </w:rPr>
        <w:t xml:space="preserve"> προτείνονται η</w:t>
      </w:r>
      <w:r w:rsidRPr="003951ED">
        <w:rPr>
          <w:lang w:eastAsia="el-GR"/>
        </w:rPr>
        <w:t xml:space="preserve"> προώθηση της συνεργατικής μάθησης και της ομαδικής εργασίας </w:t>
      </w:r>
      <w:r w:rsidR="00DE1A50" w:rsidRPr="003951ED">
        <w:rPr>
          <w:lang w:eastAsia="el-GR"/>
        </w:rPr>
        <w:t xml:space="preserve">ως βασικών διδακτικών πρακτικών, η </w:t>
      </w:r>
      <w:r w:rsidRPr="003951ED">
        <w:rPr>
          <w:lang w:eastAsia="el-GR"/>
        </w:rPr>
        <w:t xml:space="preserve">αξιοποίηση πολιτιστικών </w:t>
      </w:r>
      <w:r w:rsidR="00A72D16" w:rsidRPr="00A72D16">
        <w:rPr>
          <w:color w:val="EE0000"/>
          <w:lang w:eastAsia="el-GR"/>
        </w:rPr>
        <w:t>-</w:t>
      </w:r>
      <w:r w:rsidRPr="003951ED">
        <w:rPr>
          <w:lang w:eastAsia="el-GR"/>
        </w:rPr>
        <w:t xml:space="preserve"> καλλιτεχνικών φορέων ως συνε</w:t>
      </w:r>
      <w:r w:rsidR="00DE1A50" w:rsidRPr="003951ED">
        <w:rPr>
          <w:lang w:eastAsia="el-GR"/>
        </w:rPr>
        <w:t>ργατών της σχολικής μονάδας και η</w:t>
      </w:r>
      <w:r w:rsidRPr="003951ED">
        <w:rPr>
          <w:lang w:eastAsia="el-GR"/>
        </w:rPr>
        <w:t xml:space="preserve"> ανάπτυξη κουλτούρας σχολικής εξωστρέφειας μέσω συμμετοχής σε φεστιβάλ, διαγωνισμούς και προγράμματα. </w:t>
      </w:r>
    </w:p>
    <w:p w14:paraId="58628588" w14:textId="77777777" w:rsidR="0040780B" w:rsidRPr="003951ED" w:rsidRDefault="0040780B" w:rsidP="006F56A8">
      <w:pPr>
        <w:spacing w:before="240" w:after="0" w:line="240" w:lineRule="auto"/>
        <w:ind w:firstLine="284"/>
        <w:jc w:val="both"/>
        <w:rPr>
          <w:i/>
          <w:lang w:eastAsia="el-GR"/>
        </w:rPr>
      </w:pPr>
      <w:r w:rsidRPr="003951ED">
        <w:rPr>
          <w:i/>
          <w:lang w:eastAsia="el-GR"/>
        </w:rPr>
        <w:t>Προτάσεις για επιμόρφωση εκπαιδευτικών</w:t>
      </w:r>
    </w:p>
    <w:p w14:paraId="56A9A3B2" w14:textId="383D4E44" w:rsidR="0040780B" w:rsidRPr="003951ED" w:rsidRDefault="0040780B" w:rsidP="006F56A8">
      <w:pPr>
        <w:spacing w:after="0" w:line="240" w:lineRule="auto"/>
        <w:ind w:firstLine="284"/>
        <w:jc w:val="both"/>
        <w:rPr>
          <w:lang w:eastAsia="el-GR"/>
        </w:rPr>
      </w:pPr>
      <w:r w:rsidRPr="003951ED">
        <w:rPr>
          <w:lang w:eastAsia="el-GR"/>
        </w:rPr>
        <w:t xml:space="preserve">Η αποτελεσματική υλοποίηση τέτοιων δράσεων προϋποθέτει την κατάλληλη επιμόρφωση των εκπαιδευτικών. </w:t>
      </w:r>
      <w:r w:rsidR="00DE1A50" w:rsidRPr="003951ED">
        <w:rPr>
          <w:lang w:eastAsia="el-GR"/>
        </w:rPr>
        <w:t>Για το</w:t>
      </w:r>
      <w:r w:rsidR="007F322E">
        <w:rPr>
          <w:lang w:eastAsia="el-GR"/>
        </w:rPr>
        <w:t>ν</w:t>
      </w:r>
      <w:r w:rsidR="00DE1A50" w:rsidRPr="003951ED">
        <w:rPr>
          <w:lang w:eastAsia="el-GR"/>
        </w:rPr>
        <w:t xml:space="preserve"> λόγο αυτό</w:t>
      </w:r>
      <w:r w:rsidR="007F322E">
        <w:rPr>
          <w:lang w:eastAsia="el-GR"/>
        </w:rPr>
        <w:t>ν</w:t>
      </w:r>
      <w:r w:rsidR="00DE1A50" w:rsidRPr="003951ED">
        <w:rPr>
          <w:lang w:eastAsia="el-GR"/>
        </w:rPr>
        <w:t xml:space="preserve"> π</w:t>
      </w:r>
      <w:r w:rsidRPr="003951ED">
        <w:rPr>
          <w:lang w:eastAsia="el-GR"/>
        </w:rPr>
        <w:t>ροτείνονται</w:t>
      </w:r>
      <w:r w:rsidR="00DE1A50" w:rsidRPr="003951ED">
        <w:rPr>
          <w:lang w:eastAsia="el-GR"/>
        </w:rPr>
        <w:t xml:space="preserve"> ε</w:t>
      </w:r>
      <w:r w:rsidRPr="003951ED">
        <w:rPr>
          <w:lang w:eastAsia="el-GR"/>
        </w:rPr>
        <w:t>πιμορφωτικά προγράμματα στη βιωμα</w:t>
      </w:r>
      <w:r w:rsidR="00DE1A50" w:rsidRPr="003951ED">
        <w:rPr>
          <w:lang w:eastAsia="el-GR"/>
        </w:rPr>
        <w:t>τική κα</w:t>
      </w:r>
      <w:r w:rsidR="00A72D16">
        <w:rPr>
          <w:lang w:eastAsia="el-GR"/>
        </w:rPr>
        <w:t xml:space="preserve">ι </w:t>
      </w:r>
      <w:r w:rsidR="00A72D16" w:rsidRPr="00A72D16">
        <w:rPr>
          <w:color w:val="EE0000"/>
          <w:lang w:eastAsia="el-GR"/>
        </w:rPr>
        <w:t>τη</w:t>
      </w:r>
      <w:r w:rsidR="00DE1A50" w:rsidRPr="003951ED">
        <w:rPr>
          <w:lang w:eastAsia="el-GR"/>
        </w:rPr>
        <w:t xml:space="preserve"> διαθεματική διδασκαλία</w:t>
      </w:r>
      <w:r w:rsidR="00A72D16">
        <w:rPr>
          <w:lang w:eastAsia="el-GR"/>
        </w:rPr>
        <w:t xml:space="preserve">. </w:t>
      </w:r>
      <w:r w:rsidR="00A72D16" w:rsidRPr="00A72D16">
        <w:rPr>
          <w:color w:val="EE0000"/>
          <w:lang w:eastAsia="el-GR"/>
        </w:rPr>
        <w:t>Επιπρόσθετα, κρίνεται α</w:t>
      </w:r>
      <w:r w:rsidR="002B2326">
        <w:rPr>
          <w:color w:val="EE0000"/>
          <w:lang w:eastAsia="el-GR"/>
        </w:rPr>
        <w:t>παραίτητη</w:t>
      </w:r>
      <w:r w:rsidR="00A72D16">
        <w:rPr>
          <w:lang w:eastAsia="el-GR"/>
        </w:rPr>
        <w:t xml:space="preserve"> η</w:t>
      </w:r>
      <w:r w:rsidR="00DE1A50" w:rsidRPr="003951ED">
        <w:rPr>
          <w:lang w:eastAsia="el-GR"/>
        </w:rPr>
        <w:t xml:space="preserve"> ε</w:t>
      </w:r>
      <w:r w:rsidRPr="003951ED">
        <w:rPr>
          <w:lang w:eastAsia="el-GR"/>
        </w:rPr>
        <w:t xml:space="preserve">κπαίδευση στη χρήση </w:t>
      </w:r>
      <w:r w:rsidR="00DE1A50" w:rsidRPr="003951ED">
        <w:rPr>
          <w:lang w:eastAsia="el-GR"/>
        </w:rPr>
        <w:t>καινοτόμων διδακτικών πρακτικών</w:t>
      </w:r>
      <w:r w:rsidR="00A72D16">
        <w:rPr>
          <w:lang w:eastAsia="el-GR"/>
        </w:rPr>
        <w:t>,</w:t>
      </w:r>
      <w:r w:rsidR="00DE1A50" w:rsidRPr="003951ED">
        <w:rPr>
          <w:lang w:eastAsia="el-GR"/>
        </w:rPr>
        <w:t xml:space="preserve"> </w:t>
      </w:r>
      <w:r w:rsidR="00A72D16">
        <w:rPr>
          <w:lang w:eastAsia="el-GR"/>
        </w:rPr>
        <w:t xml:space="preserve">η </w:t>
      </w:r>
      <w:r w:rsidR="00DE1A50" w:rsidRPr="003951ED">
        <w:rPr>
          <w:lang w:eastAsia="el-GR"/>
        </w:rPr>
        <w:t>α</w:t>
      </w:r>
      <w:r w:rsidRPr="003951ED">
        <w:rPr>
          <w:lang w:eastAsia="el-GR"/>
        </w:rPr>
        <w:t xml:space="preserve">νάπτυξη δεξιοτήτων σχεδιασμού </w:t>
      </w:r>
      <w:r w:rsidR="00A72D16" w:rsidRPr="00A72D16">
        <w:rPr>
          <w:color w:val="EE0000"/>
          <w:lang w:eastAsia="el-GR"/>
        </w:rPr>
        <w:t>-</w:t>
      </w:r>
      <w:r w:rsidR="00A72D16">
        <w:rPr>
          <w:lang w:eastAsia="el-GR"/>
        </w:rPr>
        <w:t xml:space="preserve"> </w:t>
      </w:r>
      <w:r w:rsidRPr="003951ED">
        <w:rPr>
          <w:lang w:eastAsia="el-GR"/>
        </w:rPr>
        <w:t xml:space="preserve">αξιολόγησης εκπαιδευτικών δράσεων </w:t>
      </w:r>
      <w:r w:rsidR="00DE1A50" w:rsidRPr="003951ED">
        <w:rPr>
          <w:lang w:eastAsia="el-GR"/>
        </w:rPr>
        <w:t xml:space="preserve">και </w:t>
      </w:r>
      <w:r w:rsidR="00A72D16" w:rsidRPr="00A72D16">
        <w:rPr>
          <w:color w:val="EE0000"/>
          <w:lang w:eastAsia="el-GR"/>
        </w:rPr>
        <w:t>η</w:t>
      </w:r>
      <w:r w:rsidR="00A72D16">
        <w:rPr>
          <w:lang w:eastAsia="el-GR"/>
        </w:rPr>
        <w:t xml:space="preserve"> </w:t>
      </w:r>
      <w:r w:rsidR="00DE1A50" w:rsidRPr="003951ED">
        <w:rPr>
          <w:lang w:eastAsia="el-GR"/>
        </w:rPr>
        <w:t>α</w:t>
      </w:r>
      <w:r w:rsidRPr="003951ED">
        <w:rPr>
          <w:lang w:eastAsia="el-GR"/>
        </w:rPr>
        <w:t>νταλλαγή καλών πρακτικών μεταξύ σχολικών μονάδων</w:t>
      </w:r>
      <w:r w:rsidR="007F322E">
        <w:rPr>
          <w:lang w:eastAsia="el-GR"/>
        </w:rPr>
        <w:t>.</w:t>
      </w:r>
      <w:r w:rsidRPr="003951ED">
        <w:rPr>
          <w:lang w:eastAsia="el-GR"/>
        </w:rPr>
        <w:t xml:space="preserve"> </w:t>
      </w:r>
    </w:p>
    <w:p w14:paraId="44F9D614" w14:textId="77777777" w:rsidR="0040780B" w:rsidRPr="003951ED" w:rsidRDefault="0040780B" w:rsidP="006F56A8">
      <w:pPr>
        <w:spacing w:before="240" w:after="0" w:line="240" w:lineRule="auto"/>
        <w:ind w:firstLine="284"/>
        <w:jc w:val="both"/>
        <w:rPr>
          <w:i/>
          <w:lang w:eastAsia="el-GR"/>
        </w:rPr>
      </w:pPr>
      <w:r w:rsidRPr="003951ED">
        <w:rPr>
          <w:i/>
          <w:lang w:eastAsia="el-GR"/>
        </w:rPr>
        <w:t>Προτάσεις για μελλοντική έρευνα</w:t>
      </w:r>
    </w:p>
    <w:p w14:paraId="3F96A51E" w14:textId="108DA80B" w:rsidR="0040780B" w:rsidRPr="003951ED" w:rsidRDefault="0040780B" w:rsidP="006F56A8">
      <w:pPr>
        <w:spacing w:after="0" w:line="240" w:lineRule="auto"/>
        <w:ind w:firstLine="284"/>
        <w:jc w:val="both"/>
        <w:rPr>
          <w:lang w:eastAsia="el-GR"/>
        </w:rPr>
      </w:pPr>
      <w:r w:rsidRPr="003951ED">
        <w:rPr>
          <w:lang w:eastAsia="el-GR"/>
        </w:rPr>
        <w:t>Για την περαιτέρω διερεύνηση του θέματος προτείνονται</w:t>
      </w:r>
      <w:r w:rsidR="00DE1A50" w:rsidRPr="003951ED">
        <w:rPr>
          <w:lang w:eastAsia="el-GR"/>
        </w:rPr>
        <w:t xml:space="preserve"> έ</w:t>
      </w:r>
      <w:r w:rsidRPr="003951ED">
        <w:rPr>
          <w:lang w:eastAsia="el-GR"/>
        </w:rPr>
        <w:t xml:space="preserve">ρευνες με μεγαλύτερο </w:t>
      </w:r>
      <w:r w:rsidR="00DE1A50" w:rsidRPr="003951ED">
        <w:rPr>
          <w:lang w:eastAsia="el-GR"/>
        </w:rPr>
        <w:t>και πιο αντιπροσωπευτικό δείγμα, σ</w:t>
      </w:r>
      <w:r w:rsidRPr="003951ED">
        <w:rPr>
          <w:lang w:eastAsia="el-GR"/>
        </w:rPr>
        <w:t xml:space="preserve">υγκριτικές </w:t>
      </w:r>
      <w:r w:rsidR="00DE1A50" w:rsidRPr="003951ED">
        <w:rPr>
          <w:lang w:eastAsia="el-GR"/>
        </w:rPr>
        <w:t>μελέτες μεταξύ σχολικών μονάδων, δ</w:t>
      </w:r>
      <w:r w:rsidRPr="003951ED">
        <w:rPr>
          <w:lang w:eastAsia="el-GR"/>
        </w:rPr>
        <w:t xml:space="preserve">ιερεύνηση των απόψεων των </w:t>
      </w:r>
      <w:r w:rsidRPr="00DF457A">
        <w:rPr>
          <w:color w:val="FF0000"/>
          <w:lang w:eastAsia="el-GR"/>
        </w:rPr>
        <w:t>μαθητών</w:t>
      </w:r>
      <w:r w:rsidRPr="003951ED">
        <w:rPr>
          <w:lang w:eastAsia="el-GR"/>
        </w:rPr>
        <w:t xml:space="preserve"> και των γονέων </w:t>
      </w:r>
      <w:r w:rsidR="00DE1A50" w:rsidRPr="003951ED">
        <w:rPr>
          <w:lang w:eastAsia="el-GR"/>
        </w:rPr>
        <w:t>και μ</w:t>
      </w:r>
      <w:r w:rsidRPr="003951ED">
        <w:rPr>
          <w:lang w:eastAsia="el-GR"/>
        </w:rPr>
        <w:t>ακροχρόνιες μελέτες για την επίδραση των δράσεων στη μαθησιακή πορεία</w:t>
      </w:r>
      <w:r w:rsidR="00004EC3" w:rsidRPr="003951ED">
        <w:rPr>
          <w:lang w:eastAsia="el-GR"/>
        </w:rPr>
        <w:t xml:space="preserve"> συμβάλλοντας στη διαμόρφωση ενός σύγχρονου, συμπεριληπτικού και </w:t>
      </w:r>
      <w:proofErr w:type="spellStart"/>
      <w:r w:rsidR="00004EC3" w:rsidRPr="003951ED">
        <w:rPr>
          <w:lang w:eastAsia="el-GR"/>
        </w:rPr>
        <w:t>μαθητοκεντρικού</w:t>
      </w:r>
      <w:proofErr w:type="spellEnd"/>
      <w:r w:rsidR="00004EC3" w:rsidRPr="003951ED">
        <w:rPr>
          <w:lang w:eastAsia="el-GR"/>
        </w:rPr>
        <w:t xml:space="preserve"> σχολείου.</w:t>
      </w:r>
    </w:p>
    <w:p w14:paraId="1149404D" w14:textId="77777777" w:rsidR="008E418D" w:rsidRPr="001A4A8A" w:rsidRDefault="004A690F" w:rsidP="006F56A8">
      <w:pPr>
        <w:spacing w:before="240" w:after="0" w:line="240" w:lineRule="auto"/>
        <w:ind w:firstLine="284"/>
        <w:jc w:val="both"/>
        <w:rPr>
          <w:b/>
          <w:lang w:eastAsia="el-GR"/>
        </w:rPr>
      </w:pPr>
      <w:r w:rsidRPr="006F56A8">
        <w:rPr>
          <w:b/>
          <w:lang w:eastAsia="el-GR"/>
        </w:rPr>
        <w:t>Βιβλιογραφικές</w:t>
      </w:r>
      <w:r w:rsidRPr="001A4A8A">
        <w:rPr>
          <w:b/>
          <w:lang w:eastAsia="el-GR"/>
        </w:rPr>
        <w:t xml:space="preserve"> </w:t>
      </w:r>
      <w:r w:rsidRPr="006F56A8">
        <w:rPr>
          <w:b/>
          <w:lang w:eastAsia="el-GR"/>
        </w:rPr>
        <w:t>α</w:t>
      </w:r>
      <w:r w:rsidR="008E418D" w:rsidRPr="006F56A8">
        <w:rPr>
          <w:b/>
          <w:lang w:eastAsia="el-GR"/>
        </w:rPr>
        <w:t>ναφορές</w:t>
      </w:r>
      <w:r w:rsidR="008E418D" w:rsidRPr="001A4A8A">
        <w:rPr>
          <w:b/>
          <w:lang w:eastAsia="el-GR"/>
        </w:rPr>
        <w:t xml:space="preserve"> </w:t>
      </w:r>
    </w:p>
    <w:p w14:paraId="423479A1" w14:textId="77777777" w:rsidR="001A4A8A" w:rsidRDefault="001A4A8A" w:rsidP="006F56A8">
      <w:pPr>
        <w:spacing w:after="0" w:line="240" w:lineRule="auto"/>
        <w:ind w:firstLine="284"/>
        <w:jc w:val="both"/>
        <w:rPr>
          <w:lang w:val="en-US"/>
        </w:rPr>
      </w:pPr>
      <w:r w:rsidRPr="00E101B0">
        <w:rPr>
          <w:lang w:val="en-US"/>
        </w:rPr>
        <w:t>Altrichter</w:t>
      </w:r>
      <w:r w:rsidRPr="00587F67">
        <w:t xml:space="preserve">, </w:t>
      </w:r>
      <w:r w:rsidRPr="00E101B0">
        <w:rPr>
          <w:lang w:val="en-US"/>
        </w:rPr>
        <w:t>H</w:t>
      </w:r>
      <w:r w:rsidRPr="00587F67">
        <w:t xml:space="preserve">., </w:t>
      </w:r>
      <w:r w:rsidRPr="00E101B0">
        <w:rPr>
          <w:lang w:val="en-US"/>
        </w:rPr>
        <w:t>Posch</w:t>
      </w:r>
      <w:r w:rsidRPr="00587F67">
        <w:t xml:space="preserve">, </w:t>
      </w:r>
      <w:r w:rsidRPr="00E101B0">
        <w:rPr>
          <w:lang w:val="en-US"/>
        </w:rPr>
        <w:t>P</w:t>
      </w:r>
      <w:r w:rsidRPr="00587F67">
        <w:t xml:space="preserve">., &amp; </w:t>
      </w:r>
      <w:r w:rsidRPr="00E101B0">
        <w:rPr>
          <w:lang w:val="en-US"/>
        </w:rPr>
        <w:t>Somekh</w:t>
      </w:r>
      <w:r w:rsidRPr="00587F67">
        <w:t xml:space="preserve">, </w:t>
      </w:r>
      <w:r w:rsidRPr="00E101B0">
        <w:rPr>
          <w:lang w:val="en-US"/>
        </w:rPr>
        <w:t>B</w:t>
      </w:r>
      <w:r w:rsidRPr="00587F67">
        <w:t xml:space="preserve">. (2008). </w:t>
      </w:r>
      <w:r w:rsidRPr="001A4A8A">
        <w:rPr>
          <w:i/>
          <w:iCs/>
          <w:lang w:val="en-US"/>
        </w:rPr>
        <w:t>Teachers investigate their work: An introduction to action research across the professions</w:t>
      </w:r>
      <w:r w:rsidRPr="001A4A8A">
        <w:rPr>
          <w:lang w:val="en-US"/>
        </w:rPr>
        <w:t xml:space="preserve"> (2nd ed.). </w:t>
      </w:r>
      <w:r w:rsidRPr="00587F67">
        <w:rPr>
          <w:lang w:val="en-US"/>
        </w:rPr>
        <w:t>Routledge.</w:t>
      </w:r>
    </w:p>
    <w:p w14:paraId="722ADD0B" w14:textId="77777777" w:rsidR="00004EC3" w:rsidRPr="003951ED" w:rsidRDefault="00004EC3" w:rsidP="006F56A8">
      <w:pPr>
        <w:spacing w:after="0" w:line="240" w:lineRule="auto"/>
        <w:ind w:firstLine="284"/>
        <w:jc w:val="both"/>
        <w:rPr>
          <w:lang w:val="en-US"/>
        </w:rPr>
      </w:pPr>
      <w:r w:rsidRPr="003951ED">
        <w:rPr>
          <w:lang w:val="en-US"/>
        </w:rPr>
        <w:t xml:space="preserve">Armstrong, T. (2009). </w:t>
      </w:r>
      <w:r w:rsidRPr="003951ED">
        <w:rPr>
          <w:i/>
          <w:iCs/>
          <w:lang w:val="en-US"/>
        </w:rPr>
        <w:t>Multiple intelligences in the classroom</w:t>
      </w:r>
      <w:r w:rsidRPr="003951ED">
        <w:rPr>
          <w:lang w:val="en-US"/>
        </w:rPr>
        <w:t xml:space="preserve"> (3rd ed.). ASCD.</w:t>
      </w:r>
    </w:p>
    <w:p w14:paraId="716EDABE" w14:textId="77777777" w:rsidR="00004EC3" w:rsidRPr="003951ED" w:rsidRDefault="00004EC3" w:rsidP="006F56A8">
      <w:pPr>
        <w:spacing w:after="0" w:line="240" w:lineRule="auto"/>
        <w:ind w:firstLine="284"/>
        <w:jc w:val="both"/>
        <w:rPr>
          <w:lang w:val="en-US"/>
        </w:rPr>
      </w:pPr>
      <w:r w:rsidRPr="003951ED">
        <w:rPr>
          <w:lang w:val="en-US"/>
        </w:rPr>
        <w:t xml:space="preserve">Bailey, R. (2006). Physical education and sport in schools: A review of benefits and outcomes. </w:t>
      </w:r>
      <w:r w:rsidRPr="003951ED">
        <w:rPr>
          <w:i/>
          <w:iCs/>
          <w:lang w:val="en-US"/>
        </w:rPr>
        <w:t>Journal of School Health, 76</w:t>
      </w:r>
      <w:r w:rsidR="002E2DDC">
        <w:rPr>
          <w:lang w:val="en-US"/>
        </w:rPr>
        <w:t>(8), 397–401. d</w:t>
      </w:r>
      <w:r w:rsidRPr="003951ED">
        <w:rPr>
          <w:lang w:val="en-US"/>
        </w:rPr>
        <w:t>oi</w:t>
      </w:r>
      <w:r w:rsidR="002E2DDC" w:rsidRPr="002E2DDC">
        <w:rPr>
          <w:lang w:val="en-US"/>
        </w:rPr>
        <w:t xml:space="preserve">: </w:t>
      </w:r>
      <w:r w:rsidRPr="003951ED">
        <w:rPr>
          <w:lang w:val="en-US"/>
        </w:rPr>
        <w:t>10.1111/j.1746-1561.2006.00132.x</w:t>
      </w:r>
    </w:p>
    <w:p w14:paraId="44CA8CA8" w14:textId="77777777" w:rsidR="00004EC3" w:rsidRDefault="00004EC3" w:rsidP="006F56A8">
      <w:pPr>
        <w:spacing w:after="0" w:line="240" w:lineRule="auto"/>
        <w:ind w:firstLine="284"/>
        <w:jc w:val="both"/>
        <w:rPr>
          <w:lang w:val="en-US"/>
        </w:rPr>
      </w:pPr>
      <w:r w:rsidRPr="003951ED">
        <w:rPr>
          <w:lang w:val="en-US"/>
        </w:rPr>
        <w:t xml:space="preserve">Bandura, A. (1997). </w:t>
      </w:r>
      <w:r w:rsidRPr="003951ED">
        <w:rPr>
          <w:i/>
          <w:iCs/>
          <w:lang w:val="en-US"/>
        </w:rPr>
        <w:t>Self-efficacy: The exercise of control</w:t>
      </w:r>
      <w:r w:rsidRPr="003951ED">
        <w:rPr>
          <w:lang w:val="en-US"/>
        </w:rPr>
        <w:t xml:space="preserve">. </w:t>
      </w:r>
      <w:r w:rsidR="002E2DDC" w:rsidRPr="00D659F0">
        <w:rPr>
          <w:lang w:val="en-US"/>
        </w:rPr>
        <w:t>(Vol. 11).</w:t>
      </w:r>
      <w:r w:rsidR="002E2DDC">
        <w:rPr>
          <w:lang w:val="en-US"/>
        </w:rPr>
        <w:t xml:space="preserve"> </w:t>
      </w:r>
      <w:r w:rsidRPr="003951ED">
        <w:rPr>
          <w:lang w:val="en-US"/>
        </w:rPr>
        <w:t>Freeman.</w:t>
      </w:r>
    </w:p>
    <w:p w14:paraId="2982D695" w14:textId="77777777" w:rsidR="003D1449" w:rsidRPr="003951ED" w:rsidRDefault="003D1449" w:rsidP="006F56A8">
      <w:pPr>
        <w:spacing w:after="0" w:line="240" w:lineRule="auto"/>
        <w:ind w:firstLine="284"/>
        <w:jc w:val="both"/>
        <w:rPr>
          <w:lang w:val="en-US"/>
        </w:rPr>
      </w:pPr>
      <w:r w:rsidRPr="003D1449">
        <w:rPr>
          <w:lang w:val="en-US"/>
        </w:rPr>
        <w:t xml:space="preserve">Baruch, Y., &amp; Holtom, B. C. (2008). Survey response rate levels and trends in organizational research. </w:t>
      </w:r>
      <w:r w:rsidRPr="00E101B0">
        <w:rPr>
          <w:i/>
          <w:iCs/>
          <w:lang w:val="en-US"/>
        </w:rPr>
        <w:t>Human Relations, 61</w:t>
      </w:r>
      <w:r w:rsidRPr="00E101B0">
        <w:rPr>
          <w:lang w:val="en-US"/>
        </w:rPr>
        <w:t xml:space="preserve">(8), 1139–1160. </w:t>
      </w:r>
      <w:proofErr w:type="spellStart"/>
      <w:r w:rsidRPr="00E101B0">
        <w:rPr>
          <w:lang w:val="en-US"/>
        </w:rPr>
        <w:t>doi</w:t>
      </w:r>
      <w:proofErr w:type="spellEnd"/>
      <w:r w:rsidRPr="00E101B0">
        <w:rPr>
          <w:lang w:val="en-US"/>
        </w:rPr>
        <w:t>: 10.1177/0018726708094863</w:t>
      </w:r>
    </w:p>
    <w:p w14:paraId="1B6EEBE5" w14:textId="77777777" w:rsidR="00004EC3" w:rsidRPr="003951ED" w:rsidRDefault="00004EC3" w:rsidP="006F56A8">
      <w:pPr>
        <w:spacing w:after="0" w:line="240" w:lineRule="auto"/>
        <w:ind w:firstLine="284"/>
        <w:jc w:val="both"/>
        <w:rPr>
          <w:lang w:val="en-US"/>
        </w:rPr>
      </w:pPr>
      <w:r w:rsidRPr="003951ED">
        <w:rPr>
          <w:lang w:val="en-US"/>
        </w:rPr>
        <w:lastRenderedPageBreak/>
        <w:t xml:space="preserve">Beane, J. A. (1997). </w:t>
      </w:r>
      <w:r w:rsidRPr="003951ED">
        <w:rPr>
          <w:i/>
          <w:iCs/>
          <w:lang w:val="en-US"/>
        </w:rPr>
        <w:t>Curriculum integration: Designing the core of democratic education</w:t>
      </w:r>
      <w:r w:rsidRPr="003951ED">
        <w:rPr>
          <w:lang w:val="en-US"/>
        </w:rPr>
        <w:t>. Teachers College Press</w:t>
      </w:r>
      <w:r w:rsidR="002E2DDC" w:rsidRPr="00587F67">
        <w:rPr>
          <w:lang w:val="en-US"/>
        </w:rPr>
        <w:t>, PO Box 20, Williston, VT 05495-0020.</w:t>
      </w:r>
    </w:p>
    <w:p w14:paraId="095C7AE6" w14:textId="77777777" w:rsidR="00004EC3" w:rsidRDefault="00004EC3" w:rsidP="006F56A8">
      <w:pPr>
        <w:spacing w:after="0" w:line="240" w:lineRule="auto"/>
        <w:ind w:firstLine="284"/>
        <w:jc w:val="both"/>
        <w:rPr>
          <w:rFonts w:cstheme="minorHAnsi"/>
          <w:lang w:val="en-US"/>
        </w:rPr>
      </w:pPr>
      <w:r w:rsidRPr="003951ED">
        <w:rPr>
          <w:lang w:val="en-US"/>
        </w:rPr>
        <w:t xml:space="preserve">Braun, V., &amp; Clarke, V. (2006). Using thematic analysis in psychology. </w:t>
      </w:r>
      <w:r w:rsidRPr="003951ED">
        <w:rPr>
          <w:i/>
          <w:iCs/>
          <w:lang w:val="en-US"/>
        </w:rPr>
        <w:t>Qualitative Research in Psychology, 3</w:t>
      </w:r>
      <w:r w:rsidRPr="003951ED">
        <w:rPr>
          <w:lang w:val="en-US"/>
        </w:rPr>
        <w:t xml:space="preserve">(2), 77–101. </w:t>
      </w:r>
      <w:r w:rsidR="006639E2" w:rsidRPr="006639E2">
        <w:rPr>
          <w:rFonts w:cstheme="minorHAnsi"/>
          <w:lang w:val="en-US"/>
        </w:rPr>
        <w:t>doi</w:t>
      </w:r>
      <w:r w:rsidR="006639E2" w:rsidRPr="00D659F0">
        <w:rPr>
          <w:rFonts w:cstheme="minorHAnsi"/>
          <w:lang w:val="en-US"/>
        </w:rPr>
        <w:t xml:space="preserve">: </w:t>
      </w:r>
      <w:r w:rsidRPr="006639E2">
        <w:rPr>
          <w:rFonts w:cstheme="minorHAnsi"/>
          <w:lang w:val="en-US"/>
        </w:rPr>
        <w:t>10.1191/1478088706qp063oa</w:t>
      </w:r>
    </w:p>
    <w:p w14:paraId="3BE380B4" w14:textId="77777777" w:rsidR="00D55E59" w:rsidRDefault="00D55E59" w:rsidP="006F56A8">
      <w:pPr>
        <w:spacing w:after="0" w:line="240" w:lineRule="auto"/>
        <w:ind w:firstLine="284"/>
        <w:jc w:val="both"/>
        <w:rPr>
          <w:rFonts w:cstheme="minorHAnsi"/>
          <w:lang w:val="en-US"/>
        </w:rPr>
      </w:pPr>
      <w:r w:rsidRPr="00E101B0">
        <w:rPr>
          <w:rFonts w:cstheme="minorHAnsi"/>
          <w:lang w:val="en-US"/>
        </w:rPr>
        <w:t>Bryman A. (2017). </w:t>
      </w:r>
      <w:r w:rsidRPr="00D55E59">
        <w:rPr>
          <w:rFonts w:cstheme="minorHAnsi"/>
        </w:rPr>
        <w:t>Μέθοδοι</w:t>
      </w:r>
      <w:r w:rsidRPr="00E101B0">
        <w:rPr>
          <w:rFonts w:cstheme="minorHAnsi"/>
          <w:lang w:val="en-US"/>
        </w:rPr>
        <w:t> </w:t>
      </w:r>
      <w:r w:rsidRPr="00D55E59">
        <w:rPr>
          <w:rFonts w:cstheme="minorHAnsi"/>
        </w:rPr>
        <w:t>Κοινωνικής</w:t>
      </w:r>
      <w:r w:rsidRPr="00E101B0">
        <w:rPr>
          <w:rFonts w:cstheme="minorHAnsi"/>
          <w:lang w:val="en-US"/>
        </w:rPr>
        <w:t> </w:t>
      </w:r>
      <w:r w:rsidRPr="00D55E59">
        <w:rPr>
          <w:rFonts w:cstheme="minorHAnsi"/>
        </w:rPr>
        <w:t>Έρευνας</w:t>
      </w:r>
      <w:r w:rsidRPr="00E101B0">
        <w:rPr>
          <w:rFonts w:cstheme="minorHAnsi"/>
          <w:lang w:val="en-US"/>
        </w:rPr>
        <w:t>. </w:t>
      </w:r>
      <w:r w:rsidRPr="00D55E59">
        <w:rPr>
          <w:rFonts w:cstheme="minorHAnsi"/>
        </w:rPr>
        <w:t>Αθήνα</w:t>
      </w:r>
      <w:r w:rsidRPr="00D55E59">
        <w:rPr>
          <w:rFonts w:cstheme="minorHAnsi"/>
          <w:lang w:val="en-US"/>
        </w:rPr>
        <w:t>: Gutenberg </w:t>
      </w:r>
    </w:p>
    <w:p w14:paraId="21CD473E" w14:textId="77777777" w:rsidR="00413C9C" w:rsidRPr="00D55E59" w:rsidRDefault="00413C9C" w:rsidP="006F56A8">
      <w:pPr>
        <w:spacing w:after="0" w:line="240" w:lineRule="auto"/>
        <w:ind w:firstLine="284"/>
        <w:jc w:val="both"/>
        <w:rPr>
          <w:rFonts w:cstheme="minorHAnsi"/>
          <w:lang w:val="en-US"/>
        </w:rPr>
      </w:pPr>
      <w:r w:rsidRPr="00413C9C">
        <w:rPr>
          <w:rFonts w:cstheme="minorHAnsi"/>
          <w:lang w:val="en-US"/>
        </w:rPr>
        <w:t xml:space="preserve">Cohen, L., Manion, L., &amp; Morrison, K. (2018). </w:t>
      </w:r>
      <w:r w:rsidRPr="00413C9C">
        <w:rPr>
          <w:rFonts w:cstheme="minorHAnsi"/>
          <w:i/>
          <w:iCs/>
          <w:lang w:val="en-US"/>
        </w:rPr>
        <w:t>Research methods in education</w:t>
      </w:r>
      <w:r w:rsidRPr="00413C9C">
        <w:rPr>
          <w:rFonts w:cstheme="minorHAnsi"/>
          <w:lang w:val="en-US"/>
        </w:rPr>
        <w:t xml:space="preserve"> (8th ed.). </w:t>
      </w:r>
      <w:r w:rsidRPr="00E101B0">
        <w:rPr>
          <w:rFonts w:cstheme="minorHAnsi"/>
          <w:lang w:val="en-US"/>
        </w:rPr>
        <w:t>Routledge.</w:t>
      </w:r>
    </w:p>
    <w:p w14:paraId="5B32E4CC" w14:textId="77777777" w:rsidR="00DF063F" w:rsidRDefault="00DF063F" w:rsidP="006F56A8">
      <w:pPr>
        <w:spacing w:after="0" w:line="240" w:lineRule="auto"/>
        <w:ind w:firstLine="284"/>
        <w:jc w:val="both"/>
        <w:rPr>
          <w:rFonts w:cstheme="minorHAnsi"/>
          <w:lang w:val="en-US"/>
        </w:rPr>
      </w:pPr>
      <w:r w:rsidRPr="00DF063F">
        <w:rPr>
          <w:rFonts w:cstheme="minorHAnsi"/>
          <w:lang w:val="en-US"/>
        </w:rPr>
        <w:t xml:space="preserve">Bruner, J. S. (1961). The act of discovery. </w:t>
      </w:r>
      <w:r w:rsidRPr="00413C9C">
        <w:rPr>
          <w:rFonts w:cstheme="minorHAnsi"/>
          <w:i/>
          <w:iCs/>
          <w:lang w:val="en-US"/>
        </w:rPr>
        <w:t>Harvard Educational Review, 31</w:t>
      </w:r>
      <w:r w:rsidRPr="00413C9C">
        <w:rPr>
          <w:rFonts w:cstheme="minorHAnsi"/>
          <w:lang w:val="en-US"/>
        </w:rPr>
        <w:t>(1), 21–32.</w:t>
      </w:r>
    </w:p>
    <w:p w14:paraId="4A8046B1" w14:textId="77777777" w:rsidR="00557718" w:rsidRDefault="00557718" w:rsidP="006F56A8">
      <w:pPr>
        <w:spacing w:after="0" w:line="240" w:lineRule="auto"/>
        <w:ind w:firstLine="284"/>
        <w:jc w:val="both"/>
        <w:rPr>
          <w:rFonts w:cstheme="minorHAnsi"/>
          <w:lang w:val="en-US"/>
        </w:rPr>
      </w:pPr>
      <w:r w:rsidRPr="00557718">
        <w:rPr>
          <w:rFonts w:cstheme="minorHAnsi"/>
          <w:lang w:val="en-US"/>
        </w:rPr>
        <w:t xml:space="preserve">Creswell, J. W. (2011). </w:t>
      </w:r>
      <w:r w:rsidRPr="00557718">
        <w:rPr>
          <w:rFonts w:cstheme="minorHAnsi"/>
          <w:i/>
          <w:iCs/>
          <w:lang w:val="en-US"/>
        </w:rPr>
        <w:t>Educational research: Planning, conducting, and evaluating quantitative and qualitative research</w:t>
      </w:r>
      <w:r w:rsidRPr="00557718">
        <w:rPr>
          <w:rFonts w:cstheme="minorHAnsi"/>
          <w:lang w:val="en-US"/>
        </w:rPr>
        <w:t xml:space="preserve"> (4th ed.). </w:t>
      </w:r>
      <w:r w:rsidRPr="00587F67">
        <w:rPr>
          <w:rFonts w:cstheme="minorHAnsi"/>
          <w:lang w:val="en-US"/>
        </w:rPr>
        <w:t>Pearson</w:t>
      </w:r>
    </w:p>
    <w:p w14:paraId="3624D350" w14:textId="77777777" w:rsidR="00413C9C" w:rsidRDefault="00413C9C" w:rsidP="006F56A8">
      <w:pPr>
        <w:spacing w:after="0" w:line="240" w:lineRule="auto"/>
        <w:ind w:firstLine="284"/>
        <w:jc w:val="both"/>
        <w:rPr>
          <w:lang w:val="en-US"/>
        </w:rPr>
      </w:pPr>
      <w:r w:rsidRPr="00413C9C">
        <w:rPr>
          <w:lang w:val="en-US"/>
        </w:rPr>
        <w:t xml:space="preserve">Creswell, J. W., &amp; Plano Clark, V. L. (2018). </w:t>
      </w:r>
      <w:r w:rsidRPr="00413C9C">
        <w:rPr>
          <w:i/>
          <w:iCs/>
          <w:lang w:val="en-US"/>
        </w:rPr>
        <w:t>Designing and conducting mixed methods research</w:t>
      </w:r>
      <w:r w:rsidRPr="00413C9C">
        <w:rPr>
          <w:lang w:val="en-US"/>
        </w:rPr>
        <w:t xml:space="preserve"> (3rd ed.). </w:t>
      </w:r>
      <w:r w:rsidRPr="00E101B0">
        <w:rPr>
          <w:lang w:val="en-US"/>
        </w:rPr>
        <w:t>SAGE Publications.</w:t>
      </w:r>
    </w:p>
    <w:p w14:paraId="3DCB63D4" w14:textId="77777777" w:rsidR="00713B33" w:rsidRPr="00E101B0" w:rsidRDefault="00713B33" w:rsidP="006F56A8">
      <w:pPr>
        <w:spacing w:after="0" w:line="240" w:lineRule="auto"/>
        <w:ind w:firstLine="284"/>
        <w:jc w:val="both"/>
        <w:rPr>
          <w:lang w:val="en-US"/>
        </w:rPr>
      </w:pPr>
      <w:r w:rsidRPr="00713B33">
        <w:rPr>
          <w:lang w:val="en-US"/>
        </w:rPr>
        <w:t xml:space="preserve">Daniels, H. (2016). </w:t>
      </w:r>
      <w:r w:rsidRPr="00713B33">
        <w:rPr>
          <w:rStyle w:val="a5"/>
          <w:lang w:val="en-US"/>
        </w:rPr>
        <w:t>Vygotsky and pedagogy</w:t>
      </w:r>
      <w:r w:rsidRPr="00713B33">
        <w:rPr>
          <w:lang w:val="en-US"/>
        </w:rPr>
        <w:t xml:space="preserve"> (2nd ed.). </w:t>
      </w:r>
      <w:r w:rsidRPr="00587F67">
        <w:rPr>
          <w:lang w:val="en-US"/>
        </w:rPr>
        <w:t>Routledge.</w:t>
      </w:r>
    </w:p>
    <w:p w14:paraId="3EC18598" w14:textId="77777777" w:rsidR="00D55E59" w:rsidRPr="003951ED" w:rsidRDefault="00D55E59" w:rsidP="006F56A8">
      <w:pPr>
        <w:spacing w:after="0" w:line="240" w:lineRule="auto"/>
        <w:ind w:firstLine="284"/>
        <w:jc w:val="both"/>
        <w:rPr>
          <w:lang w:val="en-US"/>
        </w:rPr>
      </w:pPr>
      <w:r w:rsidRPr="00D55E59">
        <w:rPr>
          <w:lang w:val="en-US"/>
        </w:rPr>
        <w:t xml:space="preserve">Deci, E. L., &amp; Ryan, R. M. (2000). The “what” and “why” of goal pursuits: Human needs and the self-determination of behavior. </w:t>
      </w:r>
      <w:r w:rsidRPr="00E101B0">
        <w:rPr>
          <w:i/>
          <w:iCs/>
          <w:lang w:val="en-US"/>
        </w:rPr>
        <w:t>Psychological Inquiry, 11</w:t>
      </w:r>
      <w:r w:rsidRPr="00E101B0">
        <w:rPr>
          <w:lang w:val="en-US"/>
        </w:rPr>
        <w:t>(4), 227–268.</w:t>
      </w:r>
    </w:p>
    <w:p w14:paraId="212F004C" w14:textId="77777777" w:rsidR="00004EC3" w:rsidRPr="003951ED" w:rsidRDefault="00004EC3" w:rsidP="006F56A8">
      <w:pPr>
        <w:spacing w:after="0" w:line="240" w:lineRule="auto"/>
        <w:ind w:firstLine="284"/>
        <w:jc w:val="both"/>
        <w:rPr>
          <w:lang w:val="en-US"/>
        </w:rPr>
      </w:pPr>
      <w:r w:rsidRPr="003951ED">
        <w:rPr>
          <w:lang w:val="en-US"/>
        </w:rPr>
        <w:t xml:space="preserve">Dewey, J. (1938). </w:t>
      </w:r>
      <w:r w:rsidRPr="003951ED">
        <w:rPr>
          <w:i/>
          <w:iCs/>
          <w:lang w:val="en-US"/>
        </w:rPr>
        <w:t>Experience and education</w:t>
      </w:r>
      <w:r w:rsidRPr="003951ED">
        <w:rPr>
          <w:lang w:val="en-US"/>
        </w:rPr>
        <w:t>. Macmillan.</w:t>
      </w:r>
    </w:p>
    <w:p w14:paraId="232B228D" w14:textId="77777777" w:rsidR="00004EC3" w:rsidRPr="003951ED" w:rsidRDefault="00004EC3" w:rsidP="006F56A8">
      <w:pPr>
        <w:spacing w:after="0" w:line="240" w:lineRule="auto"/>
        <w:ind w:firstLine="284"/>
        <w:jc w:val="both"/>
        <w:rPr>
          <w:lang w:val="en-US"/>
        </w:rPr>
      </w:pPr>
      <w:r w:rsidRPr="003951ED">
        <w:rPr>
          <w:lang w:val="en-US"/>
        </w:rPr>
        <w:t xml:space="preserve">Drake, S. M., &amp; Reid, J. L. (2018). Integrated curriculum as an effective way to teach 21st century capabilities. </w:t>
      </w:r>
      <w:r w:rsidRPr="003951ED">
        <w:rPr>
          <w:i/>
          <w:iCs/>
          <w:lang w:val="en-US"/>
        </w:rPr>
        <w:t>Asia Pacific Journal of Educational Research, 1</w:t>
      </w:r>
      <w:r w:rsidRPr="003951ED">
        <w:rPr>
          <w:lang w:val="en-US"/>
        </w:rPr>
        <w:t>(1), 31–50.</w:t>
      </w:r>
    </w:p>
    <w:p w14:paraId="48D944E1" w14:textId="77777777" w:rsidR="00004EC3" w:rsidRPr="003951ED" w:rsidRDefault="00004EC3" w:rsidP="006F56A8">
      <w:pPr>
        <w:spacing w:after="0" w:line="240" w:lineRule="auto"/>
        <w:ind w:firstLine="284"/>
        <w:jc w:val="both"/>
        <w:rPr>
          <w:lang w:val="en-US"/>
        </w:rPr>
      </w:pPr>
      <w:r w:rsidRPr="003951ED">
        <w:rPr>
          <w:lang w:val="en-US"/>
        </w:rPr>
        <w:t xml:space="preserve">Eisner, E. W. (2002). </w:t>
      </w:r>
      <w:r w:rsidRPr="003951ED">
        <w:rPr>
          <w:i/>
          <w:iCs/>
          <w:lang w:val="en-US"/>
        </w:rPr>
        <w:t>The arts and the creation of mind</w:t>
      </w:r>
      <w:r w:rsidRPr="003951ED">
        <w:rPr>
          <w:lang w:val="en-US"/>
        </w:rPr>
        <w:t>. Yale University Press.</w:t>
      </w:r>
    </w:p>
    <w:p w14:paraId="5234346B" w14:textId="77777777" w:rsidR="00004EC3" w:rsidRPr="003951ED" w:rsidRDefault="00004EC3" w:rsidP="006F56A8">
      <w:pPr>
        <w:spacing w:after="0" w:line="240" w:lineRule="auto"/>
        <w:ind w:firstLine="284"/>
        <w:jc w:val="both"/>
        <w:rPr>
          <w:lang w:val="en-US"/>
        </w:rPr>
      </w:pPr>
      <w:r w:rsidRPr="003951ED">
        <w:rPr>
          <w:lang w:val="en-US"/>
        </w:rPr>
        <w:t xml:space="preserve">Freeman, S., Eddy, S. L., McDonough, M., Smith, M. K., Okoroafor, N., Jordt, H., &amp; Wenderoth, M. P. (2014). Active learning increases student performance in science, engineering, and mathematics. </w:t>
      </w:r>
      <w:r w:rsidRPr="003951ED">
        <w:rPr>
          <w:i/>
          <w:iCs/>
          <w:lang w:val="en-US"/>
        </w:rPr>
        <w:t>Proceedings of the National Academy of Sciences, 111</w:t>
      </w:r>
      <w:r w:rsidRPr="003951ED">
        <w:rPr>
          <w:lang w:val="en-US"/>
        </w:rPr>
        <w:t xml:space="preserve">(23), 8410–8415. </w:t>
      </w:r>
      <w:proofErr w:type="spellStart"/>
      <w:r w:rsidR="006639E2" w:rsidRPr="006639E2">
        <w:rPr>
          <w:rFonts w:cstheme="minorHAnsi"/>
          <w:lang w:val="en-US"/>
        </w:rPr>
        <w:t>doi</w:t>
      </w:r>
      <w:proofErr w:type="spellEnd"/>
      <w:r w:rsidR="006639E2" w:rsidRPr="00D659F0">
        <w:rPr>
          <w:rFonts w:cstheme="minorHAnsi"/>
          <w:lang w:val="en-US"/>
        </w:rPr>
        <w:t xml:space="preserve">: </w:t>
      </w:r>
      <w:r w:rsidR="006639E2" w:rsidRPr="006639E2">
        <w:rPr>
          <w:rFonts w:cstheme="minorHAnsi"/>
          <w:lang w:val="en-US"/>
        </w:rPr>
        <w:t>10.1073/pnas.1319030111</w:t>
      </w:r>
    </w:p>
    <w:p w14:paraId="37CBCE0E" w14:textId="77777777" w:rsidR="00004EC3" w:rsidRDefault="00004EC3" w:rsidP="006F56A8">
      <w:pPr>
        <w:spacing w:after="0" w:line="240" w:lineRule="auto"/>
        <w:ind w:firstLine="284"/>
        <w:jc w:val="both"/>
        <w:rPr>
          <w:lang w:val="en-US"/>
        </w:rPr>
      </w:pPr>
      <w:r w:rsidRPr="003951ED">
        <w:rPr>
          <w:lang w:val="en-US"/>
        </w:rPr>
        <w:t xml:space="preserve">Gardner, H. (1993). </w:t>
      </w:r>
      <w:r w:rsidRPr="003951ED">
        <w:rPr>
          <w:i/>
          <w:iCs/>
          <w:lang w:val="en-US"/>
        </w:rPr>
        <w:t>Frames of mind: The theory of multiple intelligences</w:t>
      </w:r>
      <w:r w:rsidRPr="003951ED">
        <w:rPr>
          <w:lang w:val="en-US"/>
        </w:rPr>
        <w:t xml:space="preserve"> (10th anniversary ed.). Basic Books.</w:t>
      </w:r>
    </w:p>
    <w:p w14:paraId="20ACB91E" w14:textId="77777777" w:rsidR="000915C4" w:rsidRPr="000915C4" w:rsidRDefault="000915C4" w:rsidP="006F56A8">
      <w:pPr>
        <w:spacing w:after="0" w:line="240" w:lineRule="auto"/>
        <w:ind w:firstLine="284"/>
        <w:jc w:val="both"/>
        <w:rPr>
          <w:rFonts w:cstheme="minorHAnsi"/>
          <w:lang w:val="en-US"/>
        </w:rPr>
      </w:pPr>
      <w:r w:rsidRPr="000915C4">
        <w:rPr>
          <w:rFonts w:cstheme="minorHAnsi"/>
          <w:color w:val="222222"/>
          <w:shd w:val="clear" w:color="auto" w:fill="FFFFFF"/>
          <w:lang w:val="en-US"/>
        </w:rPr>
        <w:t>Hall, T. (2002). Differentiated instruction. </w:t>
      </w:r>
      <w:r w:rsidRPr="000915C4">
        <w:rPr>
          <w:rFonts w:cstheme="minorHAnsi"/>
          <w:i/>
          <w:iCs/>
          <w:color w:val="222222"/>
          <w:shd w:val="clear" w:color="auto" w:fill="FFFFFF"/>
          <w:lang w:val="en-US"/>
        </w:rPr>
        <w:t>Effective Classroom Practices Report. National Center On Accessing The General Curriculum. Washington Dc: Office Of Special Education Programs, US Department Of Education</w:t>
      </w:r>
      <w:r w:rsidRPr="000915C4">
        <w:rPr>
          <w:rFonts w:cstheme="minorHAnsi"/>
          <w:color w:val="222222"/>
          <w:shd w:val="clear" w:color="auto" w:fill="FFFFFF"/>
          <w:lang w:val="en-US"/>
        </w:rPr>
        <w:t>.</w:t>
      </w:r>
    </w:p>
    <w:p w14:paraId="1D46790F" w14:textId="77777777" w:rsidR="00DF063F" w:rsidRPr="00092871" w:rsidRDefault="00DF063F" w:rsidP="006F56A8">
      <w:pPr>
        <w:spacing w:after="0" w:line="240" w:lineRule="auto"/>
        <w:ind w:firstLine="284"/>
        <w:jc w:val="both"/>
        <w:rPr>
          <w:lang w:val="en-US"/>
        </w:rPr>
      </w:pPr>
      <w:r w:rsidRPr="00DF063F">
        <w:rPr>
          <w:lang w:val="en-US"/>
        </w:rPr>
        <w:t xml:space="preserve">Hiebert, J., Carpenter, T. P., Fennema, E., Fuson, K., Wearne, D., Murray, H., Olivier, A., &amp; Human, P. (1996). </w:t>
      </w:r>
      <w:r w:rsidRPr="00DF063F">
        <w:rPr>
          <w:i/>
          <w:iCs/>
          <w:lang w:val="en-US"/>
        </w:rPr>
        <w:t>Problem solving as a basis for reform in curriculum and instruction</w:t>
      </w:r>
      <w:r w:rsidRPr="00DF063F">
        <w:rPr>
          <w:lang w:val="en-US"/>
        </w:rPr>
        <w:t xml:space="preserve">. </w:t>
      </w:r>
      <w:r w:rsidRPr="00587F67">
        <w:rPr>
          <w:lang w:val="en-US"/>
        </w:rPr>
        <w:t>Educational Researcher, 25(4), 12–21.</w:t>
      </w:r>
    </w:p>
    <w:p w14:paraId="339F0107" w14:textId="77777777" w:rsidR="00004EC3" w:rsidRDefault="00004EC3" w:rsidP="006F56A8">
      <w:pPr>
        <w:spacing w:after="0" w:line="240" w:lineRule="auto"/>
        <w:ind w:firstLine="284"/>
        <w:jc w:val="both"/>
        <w:rPr>
          <w:lang w:val="en-US"/>
        </w:rPr>
      </w:pPr>
      <w:r w:rsidRPr="003951ED">
        <w:rPr>
          <w:lang w:val="en-US"/>
        </w:rPr>
        <w:t xml:space="preserve">Johnson, D. W., &amp; Johnson, R. T. (2009). </w:t>
      </w:r>
      <w:r w:rsidRPr="003951ED">
        <w:rPr>
          <w:i/>
          <w:iCs/>
          <w:lang w:val="en-US"/>
        </w:rPr>
        <w:t>An educational psychology success story: Social interdependence theory and cooperative learning</w:t>
      </w:r>
      <w:r w:rsidRPr="003951ED">
        <w:rPr>
          <w:lang w:val="en-US"/>
        </w:rPr>
        <w:t>. Educational Rese</w:t>
      </w:r>
      <w:r w:rsidR="00D55E59">
        <w:rPr>
          <w:lang w:val="en-US"/>
        </w:rPr>
        <w:t>archer, 38(5), 365–379. d</w:t>
      </w:r>
      <w:r w:rsidRPr="003951ED">
        <w:rPr>
          <w:lang w:val="en-US"/>
        </w:rPr>
        <w:t>oi</w:t>
      </w:r>
      <w:r w:rsidR="00D55E59" w:rsidRPr="00E101B0">
        <w:rPr>
          <w:lang w:val="en-US"/>
        </w:rPr>
        <w:t xml:space="preserve">: </w:t>
      </w:r>
      <w:r w:rsidRPr="003951ED">
        <w:rPr>
          <w:lang w:val="en-US"/>
        </w:rPr>
        <w:t>10.3102/0013189X09339057</w:t>
      </w:r>
    </w:p>
    <w:p w14:paraId="75F73571" w14:textId="77777777" w:rsidR="00004EC3" w:rsidRDefault="00004EC3" w:rsidP="006F56A8">
      <w:pPr>
        <w:spacing w:after="0" w:line="240" w:lineRule="auto"/>
        <w:ind w:firstLine="284"/>
        <w:jc w:val="both"/>
        <w:rPr>
          <w:lang w:val="en-US"/>
        </w:rPr>
      </w:pPr>
      <w:r w:rsidRPr="003951ED">
        <w:rPr>
          <w:lang w:val="en-US"/>
        </w:rPr>
        <w:t xml:space="preserve">Kolb, D. A. (1984). </w:t>
      </w:r>
      <w:r w:rsidRPr="003951ED">
        <w:rPr>
          <w:i/>
          <w:iCs/>
          <w:lang w:val="en-US"/>
        </w:rPr>
        <w:t>Experiential learning: Experience as the source of learning and development</w:t>
      </w:r>
      <w:r w:rsidRPr="003951ED">
        <w:rPr>
          <w:lang w:val="en-US"/>
        </w:rPr>
        <w:t>. Prentice Hall.</w:t>
      </w:r>
    </w:p>
    <w:p w14:paraId="27CA3054" w14:textId="77777777" w:rsidR="001A4A8A" w:rsidRDefault="001A4A8A" w:rsidP="006F56A8">
      <w:pPr>
        <w:spacing w:after="0" w:line="240" w:lineRule="auto"/>
        <w:ind w:firstLine="284"/>
        <w:jc w:val="both"/>
        <w:rPr>
          <w:lang w:val="en-US"/>
        </w:rPr>
      </w:pPr>
      <w:r w:rsidRPr="001A4A8A">
        <w:rPr>
          <w:lang w:val="en-US"/>
        </w:rPr>
        <w:t xml:space="preserve">Likert, R. (1932). A technique for the measurement of attitudes. </w:t>
      </w:r>
      <w:r w:rsidRPr="00587F67">
        <w:rPr>
          <w:i/>
          <w:iCs/>
          <w:lang w:val="en-US"/>
        </w:rPr>
        <w:t>Archives of Psychology, 140</w:t>
      </w:r>
      <w:r w:rsidRPr="00587F67">
        <w:rPr>
          <w:lang w:val="en-US"/>
        </w:rPr>
        <w:t>, 1–55.</w:t>
      </w:r>
    </w:p>
    <w:p w14:paraId="12ACDF29" w14:textId="77777777" w:rsidR="00413C9C" w:rsidRDefault="00413C9C" w:rsidP="006F56A8">
      <w:pPr>
        <w:spacing w:after="0" w:line="240" w:lineRule="auto"/>
        <w:ind w:firstLine="284"/>
        <w:jc w:val="both"/>
        <w:rPr>
          <w:lang w:val="en-US"/>
        </w:rPr>
      </w:pPr>
      <w:r w:rsidRPr="00413C9C">
        <w:rPr>
          <w:lang w:val="en-US"/>
        </w:rPr>
        <w:t xml:space="preserve">Merriam, S. B., &amp; Tisdell, E. J. (2016). </w:t>
      </w:r>
      <w:r w:rsidRPr="00413C9C">
        <w:rPr>
          <w:i/>
          <w:iCs/>
          <w:lang w:val="en-US"/>
        </w:rPr>
        <w:t>Qualitative research: A guide to design and implementation</w:t>
      </w:r>
      <w:r w:rsidRPr="00413C9C">
        <w:rPr>
          <w:lang w:val="en-US"/>
        </w:rPr>
        <w:t xml:space="preserve"> (4th ed.). </w:t>
      </w:r>
      <w:r w:rsidRPr="00E101B0">
        <w:rPr>
          <w:lang w:val="en-US"/>
        </w:rPr>
        <w:t>Jossey-Bass.</w:t>
      </w:r>
    </w:p>
    <w:p w14:paraId="0CF9D6CE" w14:textId="77777777" w:rsidR="00D659F0" w:rsidRPr="003951ED" w:rsidRDefault="00D659F0" w:rsidP="006F56A8">
      <w:pPr>
        <w:spacing w:after="0" w:line="240" w:lineRule="auto"/>
        <w:ind w:firstLine="284"/>
        <w:jc w:val="both"/>
        <w:rPr>
          <w:lang w:val="en-US"/>
        </w:rPr>
      </w:pPr>
      <w:r w:rsidRPr="00D659F0">
        <w:rPr>
          <w:lang w:val="en-US"/>
        </w:rPr>
        <w:t xml:space="preserve">OECD. (2019). </w:t>
      </w:r>
      <w:r w:rsidRPr="00D659F0">
        <w:rPr>
          <w:i/>
          <w:iCs/>
          <w:lang w:val="en-US"/>
        </w:rPr>
        <w:t>OECD future of education and skills 2030: OECD learning compass 2030</w:t>
      </w:r>
      <w:r w:rsidRPr="00D659F0">
        <w:rPr>
          <w:lang w:val="en-US"/>
        </w:rPr>
        <w:t xml:space="preserve">. </w:t>
      </w:r>
      <w:r w:rsidRPr="00D659F0">
        <w:t xml:space="preserve">OECD </w:t>
      </w:r>
      <w:proofErr w:type="spellStart"/>
      <w:r w:rsidRPr="00D659F0">
        <w:t>Publishing</w:t>
      </w:r>
      <w:proofErr w:type="spellEnd"/>
      <w:r w:rsidRPr="00D659F0">
        <w:t>.</w:t>
      </w:r>
    </w:p>
    <w:p w14:paraId="67B24512" w14:textId="77777777" w:rsidR="00004EC3" w:rsidRPr="003951ED" w:rsidRDefault="00004EC3" w:rsidP="006F56A8">
      <w:pPr>
        <w:spacing w:after="0" w:line="240" w:lineRule="auto"/>
        <w:ind w:firstLine="284"/>
        <w:jc w:val="both"/>
        <w:rPr>
          <w:lang w:val="en-US"/>
        </w:rPr>
      </w:pPr>
      <w:r w:rsidRPr="003951ED">
        <w:rPr>
          <w:lang w:val="en-US"/>
        </w:rPr>
        <w:t xml:space="preserve">Prince, M. (2004). Does active learning work? A review of the research. </w:t>
      </w:r>
      <w:r w:rsidRPr="003951ED">
        <w:rPr>
          <w:i/>
          <w:iCs/>
          <w:lang w:val="en-US"/>
        </w:rPr>
        <w:t>Journal of Engineering Education, 93</w:t>
      </w:r>
      <w:r w:rsidRPr="003951ED">
        <w:rPr>
          <w:lang w:val="en-US"/>
        </w:rPr>
        <w:t xml:space="preserve">(3), 223–231. </w:t>
      </w:r>
      <w:r w:rsidR="006639E2" w:rsidRPr="006639E2">
        <w:rPr>
          <w:rFonts w:cstheme="minorHAnsi"/>
          <w:lang w:val="en-US"/>
        </w:rPr>
        <w:t>doi</w:t>
      </w:r>
      <w:r w:rsidR="006639E2" w:rsidRPr="00D659F0">
        <w:rPr>
          <w:rFonts w:cstheme="minorHAnsi"/>
          <w:lang w:val="en-US"/>
        </w:rPr>
        <w:t xml:space="preserve">: </w:t>
      </w:r>
      <w:r w:rsidRPr="006639E2">
        <w:rPr>
          <w:rFonts w:cstheme="minorHAnsi"/>
          <w:lang w:val="en-US"/>
        </w:rPr>
        <w:t>10.1002/j.2168-9830.2004.tb00809.x</w:t>
      </w:r>
    </w:p>
    <w:p w14:paraId="3D10B222" w14:textId="77777777" w:rsidR="00004EC3" w:rsidRPr="003951ED" w:rsidRDefault="00004EC3" w:rsidP="006F56A8">
      <w:pPr>
        <w:spacing w:after="0" w:line="240" w:lineRule="auto"/>
        <w:ind w:firstLine="284"/>
        <w:jc w:val="both"/>
        <w:rPr>
          <w:lang w:val="en-US"/>
        </w:rPr>
      </w:pPr>
      <w:r w:rsidRPr="003951ED">
        <w:rPr>
          <w:lang w:val="en-US"/>
        </w:rPr>
        <w:t xml:space="preserve">Ryan, R. M., &amp; Deci, E. L. (2000). Intrinsic and extrinsic motivations: Classic definitions and new directions. </w:t>
      </w:r>
      <w:r w:rsidRPr="003951ED">
        <w:rPr>
          <w:i/>
          <w:iCs/>
          <w:lang w:val="en-US"/>
        </w:rPr>
        <w:t>Contemporary Educational Psychology, 25</w:t>
      </w:r>
      <w:r w:rsidRPr="003951ED">
        <w:rPr>
          <w:lang w:val="en-US"/>
        </w:rPr>
        <w:t xml:space="preserve">(1), 54–67. </w:t>
      </w:r>
      <w:proofErr w:type="spellStart"/>
      <w:r w:rsidRPr="006639E2">
        <w:rPr>
          <w:rFonts w:cstheme="minorHAnsi"/>
          <w:lang w:val="en-US"/>
        </w:rPr>
        <w:t>doi</w:t>
      </w:r>
      <w:proofErr w:type="spellEnd"/>
      <w:r w:rsidR="006639E2" w:rsidRPr="00D659F0">
        <w:rPr>
          <w:rFonts w:cstheme="minorHAnsi"/>
          <w:lang w:val="en-US"/>
        </w:rPr>
        <w:t xml:space="preserve">: </w:t>
      </w:r>
      <w:r w:rsidRPr="006639E2">
        <w:rPr>
          <w:rFonts w:cstheme="minorHAnsi"/>
          <w:lang w:val="en-US"/>
        </w:rPr>
        <w:t>10.1006/ceps.1999.1020</w:t>
      </w:r>
    </w:p>
    <w:p w14:paraId="448EA016" w14:textId="77777777" w:rsidR="00004EC3" w:rsidRPr="003951ED" w:rsidRDefault="00004EC3" w:rsidP="006F56A8">
      <w:pPr>
        <w:spacing w:after="0" w:line="240" w:lineRule="auto"/>
        <w:ind w:firstLine="284"/>
        <w:jc w:val="both"/>
        <w:rPr>
          <w:lang w:val="en-US"/>
        </w:rPr>
      </w:pPr>
      <w:r w:rsidRPr="003951ED">
        <w:rPr>
          <w:lang w:val="en-US"/>
        </w:rPr>
        <w:t xml:space="preserve">Schoenfeld, A. H. (2016). </w:t>
      </w:r>
      <w:r w:rsidRPr="003951ED">
        <w:rPr>
          <w:i/>
          <w:iCs/>
          <w:lang w:val="en-US"/>
        </w:rPr>
        <w:t>Learning to think mathematically: Problem solving, metacognition, and sense making in mathematics</w:t>
      </w:r>
      <w:r w:rsidRPr="003951ED">
        <w:rPr>
          <w:lang w:val="en-US"/>
        </w:rPr>
        <w:t>. Journal of Education, 196(2), 1–38.</w:t>
      </w:r>
    </w:p>
    <w:p w14:paraId="2EA04EC0" w14:textId="77777777" w:rsidR="00004EC3" w:rsidRDefault="00004EC3" w:rsidP="006F56A8">
      <w:pPr>
        <w:spacing w:after="0" w:line="240" w:lineRule="auto"/>
        <w:ind w:firstLine="284"/>
        <w:jc w:val="both"/>
        <w:rPr>
          <w:lang w:val="en-US"/>
        </w:rPr>
      </w:pPr>
      <w:r w:rsidRPr="003951ED">
        <w:rPr>
          <w:lang w:val="en-US"/>
        </w:rPr>
        <w:t xml:space="preserve">Slavin, R. E. (2014). </w:t>
      </w:r>
      <w:r w:rsidRPr="003951ED">
        <w:rPr>
          <w:i/>
          <w:iCs/>
          <w:lang w:val="en-US"/>
        </w:rPr>
        <w:t>Cooperative learning and academic achievement: Why does groupwork work?</w:t>
      </w:r>
      <w:r w:rsidRPr="003951ED">
        <w:rPr>
          <w:lang w:val="en-US"/>
        </w:rPr>
        <w:t xml:space="preserve"> </w:t>
      </w:r>
      <w:proofErr w:type="spellStart"/>
      <w:r w:rsidRPr="003951ED">
        <w:rPr>
          <w:lang w:val="en-US"/>
        </w:rPr>
        <w:t>Anales</w:t>
      </w:r>
      <w:proofErr w:type="spellEnd"/>
      <w:r w:rsidRPr="003951ED">
        <w:rPr>
          <w:lang w:val="en-US"/>
        </w:rPr>
        <w:t xml:space="preserve"> de </w:t>
      </w:r>
      <w:proofErr w:type="spellStart"/>
      <w:r w:rsidRPr="003951ED">
        <w:rPr>
          <w:lang w:val="en-US"/>
        </w:rPr>
        <w:t>Psicología</w:t>
      </w:r>
      <w:proofErr w:type="spellEnd"/>
      <w:r w:rsidRPr="003951ED">
        <w:rPr>
          <w:lang w:val="en-US"/>
        </w:rPr>
        <w:t xml:space="preserve">, 30(3), 785–791. </w:t>
      </w:r>
      <w:proofErr w:type="spellStart"/>
      <w:r w:rsidR="00D55E59" w:rsidRPr="00D55E59">
        <w:rPr>
          <w:lang w:val="en-US"/>
        </w:rPr>
        <w:t>doi</w:t>
      </w:r>
      <w:proofErr w:type="spellEnd"/>
      <w:r w:rsidR="00D55E59" w:rsidRPr="00E101B0">
        <w:rPr>
          <w:lang w:val="en-US"/>
        </w:rPr>
        <w:t xml:space="preserve">: </w:t>
      </w:r>
      <w:r w:rsidR="00D55E59" w:rsidRPr="00D55E59">
        <w:rPr>
          <w:lang w:val="en-US"/>
        </w:rPr>
        <w:t>10.6018/analesps.30.3.201201</w:t>
      </w:r>
    </w:p>
    <w:p w14:paraId="56F9DEA9" w14:textId="77777777" w:rsidR="00D55E59" w:rsidRPr="003951ED" w:rsidRDefault="00D55E59" w:rsidP="006F56A8">
      <w:pPr>
        <w:spacing w:after="0" w:line="240" w:lineRule="auto"/>
        <w:ind w:firstLine="284"/>
        <w:jc w:val="both"/>
        <w:rPr>
          <w:lang w:val="en-US"/>
        </w:rPr>
      </w:pPr>
      <w:r w:rsidRPr="00D55E59">
        <w:rPr>
          <w:lang w:val="en-US"/>
        </w:rPr>
        <w:lastRenderedPageBreak/>
        <w:t xml:space="preserve">Schunk, D. H. (1991). Self-efficacy and academic motivation. </w:t>
      </w:r>
      <w:r w:rsidRPr="00E101B0">
        <w:rPr>
          <w:i/>
          <w:iCs/>
          <w:lang w:val="en-US"/>
        </w:rPr>
        <w:t>Educational Psychologist, 26</w:t>
      </w:r>
      <w:r w:rsidRPr="00E101B0">
        <w:rPr>
          <w:lang w:val="en-US"/>
        </w:rPr>
        <w:t>(3–4), 207–231.</w:t>
      </w:r>
    </w:p>
    <w:p w14:paraId="4ADFDB1A" w14:textId="77777777" w:rsidR="00004EC3" w:rsidRDefault="00004EC3" w:rsidP="006F56A8">
      <w:pPr>
        <w:spacing w:after="0" w:line="240" w:lineRule="auto"/>
        <w:ind w:firstLine="284"/>
        <w:jc w:val="both"/>
        <w:rPr>
          <w:lang w:val="en-US"/>
        </w:rPr>
      </w:pPr>
      <w:r w:rsidRPr="003951ED">
        <w:rPr>
          <w:lang w:val="en-US"/>
        </w:rPr>
        <w:t xml:space="preserve">Trilling, B., &amp; Fadel, C. (2009). </w:t>
      </w:r>
      <w:r w:rsidRPr="003951ED">
        <w:rPr>
          <w:i/>
          <w:iCs/>
          <w:lang w:val="en-US"/>
        </w:rPr>
        <w:t>21st century skills: Learning for life in our times</w:t>
      </w:r>
      <w:r w:rsidRPr="003951ED">
        <w:rPr>
          <w:lang w:val="en-US"/>
        </w:rPr>
        <w:t>. Jossey-Bass.</w:t>
      </w:r>
    </w:p>
    <w:p w14:paraId="08E548E5" w14:textId="77777777" w:rsidR="002E4201" w:rsidRPr="003951ED" w:rsidRDefault="002E4201" w:rsidP="006F56A8">
      <w:pPr>
        <w:spacing w:after="0" w:line="240" w:lineRule="auto"/>
        <w:ind w:firstLine="284"/>
        <w:jc w:val="both"/>
        <w:rPr>
          <w:lang w:val="en-US"/>
        </w:rPr>
      </w:pPr>
      <w:r w:rsidRPr="002E4201">
        <w:rPr>
          <w:lang w:val="en-US"/>
        </w:rPr>
        <w:t xml:space="preserve">Tomlinson, C. A. (2014). </w:t>
      </w:r>
      <w:r w:rsidRPr="002E4201">
        <w:rPr>
          <w:i/>
          <w:iCs/>
          <w:lang w:val="en-US"/>
        </w:rPr>
        <w:t>The differentiated classroom: Responding to the needs of all learners</w:t>
      </w:r>
      <w:r w:rsidRPr="002E4201">
        <w:rPr>
          <w:lang w:val="en-US"/>
        </w:rPr>
        <w:t xml:space="preserve"> (2nd ed.). </w:t>
      </w:r>
      <w:r w:rsidRPr="00E101B0">
        <w:rPr>
          <w:lang w:val="en-US"/>
        </w:rPr>
        <w:t>ASCD.</w:t>
      </w:r>
    </w:p>
    <w:p w14:paraId="5F2A2180" w14:textId="77777777" w:rsidR="00004EC3" w:rsidRPr="00726F77" w:rsidRDefault="00004EC3" w:rsidP="006F56A8">
      <w:pPr>
        <w:spacing w:after="0" w:line="240" w:lineRule="auto"/>
        <w:ind w:firstLine="284"/>
        <w:jc w:val="both"/>
        <w:rPr>
          <w:lang w:val="en-US"/>
        </w:rPr>
      </w:pPr>
      <w:r w:rsidRPr="00726F77">
        <w:rPr>
          <w:lang w:val="en-US"/>
        </w:rPr>
        <w:t xml:space="preserve">Vygotsky, L. S. (1978). </w:t>
      </w:r>
      <w:r w:rsidRPr="00726F77">
        <w:rPr>
          <w:i/>
          <w:iCs/>
          <w:lang w:val="en-US"/>
        </w:rPr>
        <w:t>Mind in society: The development of higher psychological processes</w:t>
      </w:r>
      <w:r w:rsidRPr="00726F77">
        <w:rPr>
          <w:lang w:val="en-US"/>
        </w:rPr>
        <w:t>. Harvard University Press.</w:t>
      </w:r>
    </w:p>
    <w:p w14:paraId="6E54210F" w14:textId="77777777" w:rsidR="00004EC3" w:rsidRPr="003951ED" w:rsidRDefault="00004EC3" w:rsidP="006F56A8">
      <w:pPr>
        <w:spacing w:after="0" w:line="240" w:lineRule="auto"/>
        <w:ind w:firstLine="284"/>
        <w:jc w:val="both"/>
      </w:pPr>
      <w:r w:rsidRPr="003951ED">
        <w:rPr>
          <w:lang w:val="en-US"/>
        </w:rPr>
        <w:t xml:space="preserve">Winner, E., Goldstein, T. R., &amp; Vincent-Lancrin, S. (2013). </w:t>
      </w:r>
      <w:r w:rsidRPr="003951ED">
        <w:rPr>
          <w:i/>
          <w:iCs/>
          <w:lang w:val="en-US"/>
        </w:rPr>
        <w:t>Art for art’s sake? The impact of arts education</w:t>
      </w:r>
      <w:r w:rsidRPr="003951ED">
        <w:rPr>
          <w:lang w:val="en-US"/>
        </w:rPr>
        <w:t xml:space="preserve">. </w:t>
      </w:r>
      <w:r w:rsidRPr="003951ED">
        <w:t xml:space="preserve">OECD </w:t>
      </w:r>
      <w:proofErr w:type="spellStart"/>
      <w:r w:rsidRPr="003951ED">
        <w:t>Publishing</w:t>
      </w:r>
      <w:proofErr w:type="spellEnd"/>
      <w:r w:rsidRPr="003951ED">
        <w:t>.</w:t>
      </w:r>
    </w:p>
    <w:p w14:paraId="2C853C6E" w14:textId="77777777" w:rsidR="00004EC3" w:rsidRPr="00726F77" w:rsidRDefault="00004EC3" w:rsidP="006F56A8">
      <w:pPr>
        <w:spacing w:after="0" w:line="240" w:lineRule="auto"/>
        <w:ind w:firstLine="284"/>
        <w:jc w:val="both"/>
      </w:pPr>
      <w:r w:rsidRPr="003951ED">
        <w:t xml:space="preserve">Ινστιτούτο Εκπαιδευτικής Πολιτικής. (2021). </w:t>
      </w:r>
      <w:r w:rsidRPr="003951ED">
        <w:rPr>
          <w:i/>
          <w:iCs/>
        </w:rPr>
        <w:t xml:space="preserve">Οδηγός </w:t>
      </w:r>
      <w:proofErr w:type="spellStart"/>
      <w:r w:rsidRPr="003951ED">
        <w:rPr>
          <w:i/>
          <w:iCs/>
        </w:rPr>
        <w:t>αυτοαξιολόγησης</w:t>
      </w:r>
      <w:proofErr w:type="spellEnd"/>
      <w:r w:rsidRPr="003951ED">
        <w:rPr>
          <w:i/>
          <w:iCs/>
        </w:rPr>
        <w:t xml:space="preserve"> σχολικής μονάδας</w:t>
      </w:r>
      <w:r w:rsidRPr="003951ED">
        <w:t>. ΙΕΠ.</w:t>
      </w:r>
    </w:p>
    <w:p w14:paraId="2A28CDBE" w14:textId="4F3F5C09" w:rsidR="00DF2271" w:rsidRPr="00DF2271" w:rsidRDefault="00DF2271" w:rsidP="006F56A8">
      <w:pPr>
        <w:spacing w:after="0" w:line="240" w:lineRule="auto"/>
        <w:ind w:firstLine="284"/>
        <w:jc w:val="both"/>
      </w:pPr>
      <w:r w:rsidRPr="00DF2271">
        <w:rPr>
          <w:lang w:val="en-US"/>
        </w:rPr>
        <w:t>Robson</w:t>
      </w:r>
      <w:r w:rsidRPr="00DF2271">
        <w:t xml:space="preserve">, </w:t>
      </w:r>
      <w:r w:rsidRPr="00DF2271">
        <w:rPr>
          <w:lang w:val="en-US"/>
        </w:rPr>
        <w:t>C</w:t>
      </w:r>
      <w:r w:rsidRPr="00DF2271">
        <w:t xml:space="preserve">. (2010).  </w:t>
      </w:r>
      <w:r w:rsidRPr="009441AB">
        <w:rPr>
          <w:i/>
          <w:iCs/>
        </w:rPr>
        <w:t>Η έρευνα του πραγματικού κόσμου</w:t>
      </w:r>
      <w:r w:rsidRPr="00DF2271">
        <w:t xml:space="preserve"> (μτφ. Β. </w:t>
      </w:r>
      <w:proofErr w:type="spellStart"/>
      <w:r w:rsidRPr="00DF2271">
        <w:t>Νταλάκου</w:t>
      </w:r>
      <w:proofErr w:type="spellEnd"/>
      <w:r w:rsidRPr="00DF2271">
        <w:t xml:space="preserve"> &amp; Κ. Βασιλικού). Αθήνα: </w:t>
      </w:r>
      <w:r w:rsidRPr="00DF2271">
        <w:rPr>
          <w:lang w:val="en-US"/>
        </w:rPr>
        <w:t>Gutenberg</w:t>
      </w:r>
      <w:r w:rsidRPr="00DF2271">
        <w:t>.</w:t>
      </w:r>
    </w:p>
    <w:p w14:paraId="0E6C04BB" w14:textId="77777777" w:rsidR="00004EC3" w:rsidRPr="003951ED" w:rsidRDefault="00004EC3" w:rsidP="006F56A8">
      <w:pPr>
        <w:spacing w:after="0" w:line="240" w:lineRule="auto"/>
        <w:ind w:firstLine="284"/>
        <w:jc w:val="both"/>
      </w:pPr>
      <w:r w:rsidRPr="003951ED">
        <w:t xml:space="preserve">Υπουργείο Παιδείας και Θρησκευμάτων &amp; Ινστιτούτο Εκπαιδευτικής Πολιτικής. (2014). </w:t>
      </w:r>
      <w:r w:rsidRPr="003951ED">
        <w:rPr>
          <w:i/>
          <w:iCs/>
        </w:rPr>
        <w:t>Διαθεματικό Ενιαίο Πλαίσιο Προγραμμάτων Σπουδών (ΔΕΠΠΣ) και Αναλυτικά Προγράμματα Σπουδών (ΑΠΣ)</w:t>
      </w:r>
      <w:r w:rsidRPr="003951ED">
        <w:t>.</w:t>
      </w:r>
    </w:p>
    <w:p w14:paraId="60FE3952" w14:textId="77777777" w:rsidR="00004EC3" w:rsidRPr="003951ED" w:rsidRDefault="00004EC3" w:rsidP="006F56A8">
      <w:pPr>
        <w:spacing w:after="0" w:line="240" w:lineRule="auto"/>
        <w:ind w:firstLine="284"/>
        <w:jc w:val="both"/>
      </w:pPr>
    </w:p>
    <w:sectPr w:rsidR="00004EC3" w:rsidRPr="003951ED" w:rsidSect="005C30BF">
      <w:pgSz w:w="11906" w:h="16838"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053"/>
    <w:multiLevelType w:val="multilevel"/>
    <w:tmpl w:val="3D1C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82BB3"/>
    <w:multiLevelType w:val="multilevel"/>
    <w:tmpl w:val="5E94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46024"/>
    <w:multiLevelType w:val="multilevel"/>
    <w:tmpl w:val="FA54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8502A"/>
    <w:multiLevelType w:val="multilevel"/>
    <w:tmpl w:val="5B5E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7017F"/>
    <w:multiLevelType w:val="multilevel"/>
    <w:tmpl w:val="0C36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435A0"/>
    <w:multiLevelType w:val="multilevel"/>
    <w:tmpl w:val="E94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34CE3"/>
    <w:multiLevelType w:val="multilevel"/>
    <w:tmpl w:val="B90C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15244"/>
    <w:multiLevelType w:val="multilevel"/>
    <w:tmpl w:val="A740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02FC2"/>
    <w:multiLevelType w:val="multilevel"/>
    <w:tmpl w:val="B49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59816">
    <w:abstractNumId w:val="7"/>
  </w:num>
  <w:num w:numId="2" w16cid:durableId="756634393">
    <w:abstractNumId w:val="1"/>
  </w:num>
  <w:num w:numId="3" w16cid:durableId="2065372940">
    <w:abstractNumId w:val="0"/>
  </w:num>
  <w:num w:numId="4" w16cid:durableId="930161671">
    <w:abstractNumId w:val="8"/>
  </w:num>
  <w:num w:numId="5" w16cid:durableId="781416562">
    <w:abstractNumId w:val="5"/>
  </w:num>
  <w:num w:numId="6" w16cid:durableId="1002318807">
    <w:abstractNumId w:val="6"/>
  </w:num>
  <w:num w:numId="7" w16cid:durableId="262690280">
    <w:abstractNumId w:val="2"/>
  </w:num>
  <w:num w:numId="8" w16cid:durableId="1974559073">
    <w:abstractNumId w:val="4"/>
  </w:num>
  <w:num w:numId="9" w16cid:durableId="517089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8D"/>
    <w:rsid w:val="0000206A"/>
    <w:rsid w:val="00002672"/>
    <w:rsid w:val="00004EC3"/>
    <w:rsid w:val="00013CE4"/>
    <w:rsid w:val="000915C4"/>
    <w:rsid w:val="00092871"/>
    <w:rsid w:val="000A44DF"/>
    <w:rsid w:val="00131644"/>
    <w:rsid w:val="00142A45"/>
    <w:rsid w:val="00146388"/>
    <w:rsid w:val="0016016C"/>
    <w:rsid w:val="00162FF3"/>
    <w:rsid w:val="00197DCE"/>
    <w:rsid w:val="001A4A8A"/>
    <w:rsid w:val="001B14E8"/>
    <w:rsid w:val="001B47AA"/>
    <w:rsid w:val="001B5539"/>
    <w:rsid w:val="001B6A72"/>
    <w:rsid w:val="001C71B7"/>
    <w:rsid w:val="001E3383"/>
    <w:rsid w:val="00201B25"/>
    <w:rsid w:val="002033B2"/>
    <w:rsid w:val="00214725"/>
    <w:rsid w:val="00260EBC"/>
    <w:rsid w:val="00280C8E"/>
    <w:rsid w:val="00283C9D"/>
    <w:rsid w:val="00294502"/>
    <w:rsid w:val="002B2326"/>
    <w:rsid w:val="002E2DDC"/>
    <w:rsid w:val="002E4201"/>
    <w:rsid w:val="00343834"/>
    <w:rsid w:val="0037035F"/>
    <w:rsid w:val="003811E4"/>
    <w:rsid w:val="00394962"/>
    <w:rsid w:val="003951ED"/>
    <w:rsid w:val="003C4169"/>
    <w:rsid w:val="003C665E"/>
    <w:rsid w:val="003D1449"/>
    <w:rsid w:val="0040780B"/>
    <w:rsid w:val="00413C9C"/>
    <w:rsid w:val="00423696"/>
    <w:rsid w:val="004377DE"/>
    <w:rsid w:val="0048174C"/>
    <w:rsid w:val="004949DB"/>
    <w:rsid w:val="004A690F"/>
    <w:rsid w:val="004B11C3"/>
    <w:rsid w:val="004D69EE"/>
    <w:rsid w:val="00511B81"/>
    <w:rsid w:val="005179B2"/>
    <w:rsid w:val="00535D73"/>
    <w:rsid w:val="00540816"/>
    <w:rsid w:val="00557718"/>
    <w:rsid w:val="00587F67"/>
    <w:rsid w:val="00595439"/>
    <w:rsid w:val="005956E1"/>
    <w:rsid w:val="005C30BF"/>
    <w:rsid w:val="006639E2"/>
    <w:rsid w:val="006659EA"/>
    <w:rsid w:val="006B700F"/>
    <w:rsid w:val="006D16AE"/>
    <w:rsid w:val="006E48BC"/>
    <w:rsid w:val="006E5471"/>
    <w:rsid w:val="006F56A8"/>
    <w:rsid w:val="00705023"/>
    <w:rsid w:val="00713B33"/>
    <w:rsid w:val="00726F77"/>
    <w:rsid w:val="007439EE"/>
    <w:rsid w:val="00757DFB"/>
    <w:rsid w:val="00760496"/>
    <w:rsid w:val="00773558"/>
    <w:rsid w:val="007A508D"/>
    <w:rsid w:val="007F322E"/>
    <w:rsid w:val="00850B3B"/>
    <w:rsid w:val="00881452"/>
    <w:rsid w:val="00886B81"/>
    <w:rsid w:val="00892B5B"/>
    <w:rsid w:val="008E418D"/>
    <w:rsid w:val="008F3C31"/>
    <w:rsid w:val="00906AEF"/>
    <w:rsid w:val="009441AB"/>
    <w:rsid w:val="00961B54"/>
    <w:rsid w:val="0098648D"/>
    <w:rsid w:val="009B1B7A"/>
    <w:rsid w:val="00A37F5E"/>
    <w:rsid w:val="00A65F3A"/>
    <w:rsid w:val="00A72D16"/>
    <w:rsid w:val="00A7765D"/>
    <w:rsid w:val="00AE3AB4"/>
    <w:rsid w:val="00AE7B25"/>
    <w:rsid w:val="00AF1747"/>
    <w:rsid w:val="00B0391F"/>
    <w:rsid w:val="00B271DB"/>
    <w:rsid w:val="00B55531"/>
    <w:rsid w:val="00B67F20"/>
    <w:rsid w:val="00CA2FC2"/>
    <w:rsid w:val="00CD089E"/>
    <w:rsid w:val="00CF4991"/>
    <w:rsid w:val="00CF5F37"/>
    <w:rsid w:val="00D4120B"/>
    <w:rsid w:val="00D55E59"/>
    <w:rsid w:val="00D659F0"/>
    <w:rsid w:val="00DB3E5E"/>
    <w:rsid w:val="00DE1A50"/>
    <w:rsid w:val="00DF063F"/>
    <w:rsid w:val="00DF2271"/>
    <w:rsid w:val="00DF457A"/>
    <w:rsid w:val="00DF4E3F"/>
    <w:rsid w:val="00E101B0"/>
    <w:rsid w:val="00E16525"/>
    <w:rsid w:val="00E42A65"/>
    <w:rsid w:val="00E47AA5"/>
    <w:rsid w:val="00EE6E40"/>
    <w:rsid w:val="00EF71E1"/>
    <w:rsid w:val="00F42133"/>
    <w:rsid w:val="00F730D5"/>
    <w:rsid w:val="00FC59C5"/>
    <w:rsid w:val="00FE25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6417"/>
  <w15:chartTrackingRefBased/>
  <w15:docId w15:val="{FC851CFE-093E-45F4-B5D7-02B20CDC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6A"/>
  </w:style>
  <w:style w:type="paragraph" w:styleId="1">
    <w:name w:val="heading 1"/>
    <w:basedOn w:val="a"/>
    <w:link w:val="1Char"/>
    <w:uiPriority w:val="9"/>
    <w:qFormat/>
    <w:rsid w:val="00B555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B5553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B5553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5531"/>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B55531"/>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B55531"/>
    <w:rPr>
      <w:rFonts w:ascii="Times New Roman" w:eastAsia="Times New Roman" w:hAnsi="Times New Roman" w:cs="Times New Roman"/>
      <w:b/>
      <w:bCs/>
      <w:sz w:val="27"/>
      <w:szCs w:val="27"/>
      <w:lang w:eastAsia="el-GR"/>
    </w:rPr>
  </w:style>
  <w:style w:type="character" w:styleId="a3">
    <w:name w:val="Strong"/>
    <w:basedOn w:val="a0"/>
    <w:uiPriority w:val="22"/>
    <w:qFormat/>
    <w:rsid w:val="00B55531"/>
    <w:rPr>
      <w:b/>
      <w:bCs/>
    </w:rPr>
  </w:style>
  <w:style w:type="paragraph" w:styleId="Web">
    <w:name w:val="Normal (Web)"/>
    <w:basedOn w:val="a"/>
    <w:uiPriority w:val="99"/>
    <w:semiHidden/>
    <w:unhideWhenUsed/>
    <w:rsid w:val="00B55531"/>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20">
    <w:name w:val="Plain Table 2"/>
    <w:basedOn w:val="a1"/>
    <w:uiPriority w:val="42"/>
    <w:rsid w:val="007735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0">
    <w:name w:val="Grid Table 1 Light"/>
    <w:basedOn w:val="a1"/>
    <w:uiPriority w:val="46"/>
    <w:rsid w:val="0077355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
    <w:name w:val="Hyperlink"/>
    <w:basedOn w:val="a0"/>
    <w:uiPriority w:val="99"/>
    <w:unhideWhenUsed/>
    <w:rsid w:val="00004EC3"/>
    <w:rPr>
      <w:color w:val="0563C1" w:themeColor="hyperlink"/>
      <w:u w:val="single"/>
    </w:rPr>
  </w:style>
  <w:style w:type="paragraph" w:styleId="a4">
    <w:name w:val="Balloon Text"/>
    <w:basedOn w:val="a"/>
    <w:link w:val="Char"/>
    <w:uiPriority w:val="99"/>
    <w:semiHidden/>
    <w:unhideWhenUsed/>
    <w:rsid w:val="007439E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7439EE"/>
    <w:rPr>
      <w:rFonts w:ascii="Segoe UI" w:hAnsi="Segoe UI" w:cs="Segoe UI"/>
      <w:sz w:val="18"/>
      <w:szCs w:val="18"/>
    </w:rPr>
  </w:style>
  <w:style w:type="character" w:styleId="a5">
    <w:name w:val="Emphasis"/>
    <w:basedOn w:val="a0"/>
    <w:uiPriority w:val="20"/>
    <w:qFormat/>
    <w:rsid w:val="00713B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260">
      <w:bodyDiv w:val="1"/>
      <w:marLeft w:val="0"/>
      <w:marRight w:val="0"/>
      <w:marTop w:val="0"/>
      <w:marBottom w:val="0"/>
      <w:divBdr>
        <w:top w:val="none" w:sz="0" w:space="0" w:color="auto"/>
        <w:left w:val="none" w:sz="0" w:space="0" w:color="auto"/>
        <w:bottom w:val="none" w:sz="0" w:space="0" w:color="auto"/>
        <w:right w:val="none" w:sz="0" w:space="0" w:color="auto"/>
      </w:divBdr>
    </w:div>
    <w:div w:id="35736819">
      <w:bodyDiv w:val="1"/>
      <w:marLeft w:val="0"/>
      <w:marRight w:val="0"/>
      <w:marTop w:val="0"/>
      <w:marBottom w:val="0"/>
      <w:divBdr>
        <w:top w:val="none" w:sz="0" w:space="0" w:color="auto"/>
        <w:left w:val="none" w:sz="0" w:space="0" w:color="auto"/>
        <w:bottom w:val="none" w:sz="0" w:space="0" w:color="auto"/>
        <w:right w:val="none" w:sz="0" w:space="0" w:color="auto"/>
      </w:divBdr>
    </w:div>
    <w:div w:id="408582886">
      <w:bodyDiv w:val="1"/>
      <w:marLeft w:val="0"/>
      <w:marRight w:val="0"/>
      <w:marTop w:val="0"/>
      <w:marBottom w:val="0"/>
      <w:divBdr>
        <w:top w:val="none" w:sz="0" w:space="0" w:color="auto"/>
        <w:left w:val="none" w:sz="0" w:space="0" w:color="auto"/>
        <w:bottom w:val="none" w:sz="0" w:space="0" w:color="auto"/>
        <w:right w:val="none" w:sz="0" w:space="0" w:color="auto"/>
      </w:divBdr>
    </w:div>
    <w:div w:id="426508886">
      <w:bodyDiv w:val="1"/>
      <w:marLeft w:val="0"/>
      <w:marRight w:val="0"/>
      <w:marTop w:val="0"/>
      <w:marBottom w:val="0"/>
      <w:divBdr>
        <w:top w:val="none" w:sz="0" w:space="0" w:color="auto"/>
        <w:left w:val="none" w:sz="0" w:space="0" w:color="auto"/>
        <w:bottom w:val="none" w:sz="0" w:space="0" w:color="auto"/>
        <w:right w:val="none" w:sz="0" w:space="0" w:color="auto"/>
      </w:divBdr>
      <w:divsChild>
        <w:div w:id="141309876">
          <w:marLeft w:val="0"/>
          <w:marRight w:val="0"/>
          <w:marTop w:val="0"/>
          <w:marBottom w:val="0"/>
          <w:divBdr>
            <w:top w:val="none" w:sz="0" w:space="0" w:color="auto"/>
            <w:left w:val="none" w:sz="0" w:space="0" w:color="auto"/>
            <w:bottom w:val="none" w:sz="0" w:space="0" w:color="auto"/>
            <w:right w:val="none" w:sz="0" w:space="0" w:color="auto"/>
          </w:divBdr>
          <w:divsChild>
            <w:div w:id="1961916134">
              <w:marLeft w:val="0"/>
              <w:marRight w:val="0"/>
              <w:marTop w:val="0"/>
              <w:marBottom w:val="0"/>
              <w:divBdr>
                <w:top w:val="none" w:sz="0" w:space="0" w:color="auto"/>
                <w:left w:val="none" w:sz="0" w:space="0" w:color="auto"/>
                <w:bottom w:val="none" w:sz="0" w:space="0" w:color="auto"/>
                <w:right w:val="none" w:sz="0" w:space="0" w:color="auto"/>
              </w:divBdr>
            </w:div>
          </w:divsChild>
        </w:div>
        <w:div w:id="1496535444">
          <w:marLeft w:val="0"/>
          <w:marRight w:val="0"/>
          <w:marTop w:val="0"/>
          <w:marBottom w:val="0"/>
          <w:divBdr>
            <w:top w:val="none" w:sz="0" w:space="0" w:color="auto"/>
            <w:left w:val="none" w:sz="0" w:space="0" w:color="auto"/>
            <w:bottom w:val="none" w:sz="0" w:space="0" w:color="auto"/>
            <w:right w:val="none" w:sz="0" w:space="0" w:color="auto"/>
          </w:divBdr>
          <w:divsChild>
            <w:div w:id="603729215">
              <w:marLeft w:val="0"/>
              <w:marRight w:val="0"/>
              <w:marTop w:val="0"/>
              <w:marBottom w:val="0"/>
              <w:divBdr>
                <w:top w:val="none" w:sz="0" w:space="0" w:color="auto"/>
                <w:left w:val="none" w:sz="0" w:space="0" w:color="auto"/>
                <w:bottom w:val="none" w:sz="0" w:space="0" w:color="auto"/>
                <w:right w:val="none" w:sz="0" w:space="0" w:color="auto"/>
              </w:divBdr>
            </w:div>
          </w:divsChild>
        </w:div>
        <w:div w:id="1275988279">
          <w:marLeft w:val="0"/>
          <w:marRight w:val="0"/>
          <w:marTop w:val="0"/>
          <w:marBottom w:val="0"/>
          <w:divBdr>
            <w:top w:val="none" w:sz="0" w:space="0" w:color="auto"/>
            <w:left w:val="none" w:sz="0" w:space="0" w:color="auto"/>
            <w:bottom w:val="none" w:sz="0" w:space="0" w:color="auto"/>
            <w:right w:val="none" w:sz="0" w:space="0" w:color="auto"/>
          </w:divBdr>
          <w:divsChild>
            <w:div w:id="89086150">
              <w:marLeft w:val="0"/>
              <w:marRight w:val="0"/>
              <w:marTop w:val="0"/>
              <w:marBottom w:val="0"/>
              <w:divBdr>
                <w:top w:val="none" w:sz="0" w:space="0" w:color="auto"/>
                <w:left w:val="none" w:sz="0" w:space="0" w:color="auto"/>
                <w:bottom w:val="none" w:sz="0" w:space="0" w:color="auto"/>
                <w:right w:val="none" w:sz="0" w:space="0" w:color="auto"/>
              </w:divBdr>
            </w:div>
          </w:divsChild>
        </w:div>
        <w:div w:id="70012254">
          <w:marLeft w:val="0"/>
          <w:marRight w:val="0"/>
          <w:marTop w:val="0"/>
          <w:marBottom w:val="0"/>
          <w:divBdr>
            <w:top w:val="none" w:sz="0" w:space="0" w:color="auto"/>
            <w:left w:val="none" w:sz="0" w:space="0" w:color="auto"/>
            <w:bottom w:val="none" w:sz="0" w:space="0" w:color="auto"/>
            <w:right w:val="none" w:sz="0" w:space="0" w:color="auto"/>
          </w:divBdr>
          <w:divsChild>
            <w:div w:id="200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27400">
      <w:bodyDiv w:val="1"/>
      <w:marLeft w:val="0"/>
      <w:marRight w:val="0"/>
      <w:marTop w:val="0"/>
      <w:marBottom w:val="0"/>
      <w:divBdr>
        <w:top w:val="none" w:sz="0" w:space="0" w:color="auto"/>
        <w:left w:val="none" w:sz="0" w:space="0" w:color="auto"/>
        <w:bottom w:val="none" w:sz="0" w:space="0" w:color="auto"/>
        <w:right w:val="none" w:sz="0" w:space="0" w:color="auto"/>
      </w:divBdr>
    </w:div>
    <w:div w:id="829756705">
      <w:bodyDiv w:val="1"/>
      <w:marLeft w:val="0"/>
      <w:marRight w:val="0"/>
      <w:marTop w:val="0"/>
      <w:marBottom w:val="0"/>
      <w:divBdr>
        <w:top w:val="none" w:sz="0" w:space="0" w:color="auto"/>
        <w:left w:val="none" w:sz="0" w:space="0" w:color="auto"/>
        <w:bottom w:val="none" w:sz="0" w:space="0" w:color="auto"/>
        <w:right w:val="none" w:sz="0" w:space="0" w:color="auto"/>
      </w:divBdr>
    </w:div>
    <w:div w:id="969435861">
      <w:bodyDiv w:val="1"/>
      <w:marLeft w:val="0"/>
      <w:marRight w:val="0"/>
      <w:marTop w:val="0"/>
      <w:marBottom w:val="0"/>
      <w:divBdr>
        <w:top w:val="none" w:sz="0" w:space="0" w:color="auto"/>
        <w:left w:val="none" w:sz="0" w:space="0" w:color="auto"/>
        <w:bottom w:val="none" w:sz="0" w:space="0" w:color="auto"/>
        <w:right w:val="none" w:sz="0" w:space="0" w:color="auto"/>
      </w:divBdr>
    </w:div>
    <w:div w:id="1007900243">
      <w:bodyDiv w:val="1"/>
      <w:marLeft w:val="0"/>
      <w:marRight w:val="0"/>
      <w:marTop w:val="0"/>
      <w:marBottom w:val="0"/>
      <w:divBdr>
        <w:top w:val="none" w:sz="0" w:space="0" w:color="auto"/>
        <w:left w:val="none" w:sz="0" w:space="0" w:color="auto"/>
        <w:bottom w:val="none" w:sz="0" w:space="0" w:color="auto"/>
        <w:right w:val="none" w:sz="0" w:space="0" w:color="auto"/>
      </w:divBdr>
      <w:divsChild>
        <w:div w:id="1131939865">
          <w:marLeft w:val="0"/>
          <w:marRight w:val="0"/>
          <w:marTop w:val="0"/>
          <w:marBottom w:val="0"/>
          <w:divBdr>
            <w:top w:val="none" w:sz="0" w:space="0" w:color="auto"/>
            <w:left w:val="none" w:sz="0" w:space="0" w:color="auto"/>
            <w:bottom w:val="none" w:sz="0" w:space="0" w:color="auto"/>
            <w:right w:val="none" w:sz="0" w:space="0" w:color="auto"/>
          </w:divBdr>
          <w:divsChild>
            <w:div w:id="347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4528">
      <w:bodyDiv w:val="1"/>
      <w:marLeft w:val="0"/>
      <w:marRight w:val="0"/>
      <w:marTop w:val="0"/>
      <w:marBottom w:val="0"/>
      <w:divBdr>
        <w:top w:val="none" w:sz="0" w:space="0" w:color="auto"/>
        <w:left w:val="none" w:sz="0" w:space="0" w:color="auto"/>
        <w:bottom w:val="none" w:sz="0" w:space="0" w:color="auto"/>
        <w:right w:val="none" w:sz="0" w:space="0" w:color="auto"/>
      </w:divBdr>
    </w:div>
    <w:div w:id="1086995670">
      <w:bodyDiv w:val="1"/>
      <w:marLeft w:val="0"/>
      <w:marRight w:val="0"/>
      <w:marTop w:val="0"/>
      <w:marBottom w:val="0"/>
      <w:divBdr>
        <w:top w:val="none" w:sz="0" w:space="0" w:color="auto"/>
        <w:left w:val="none" w:sz="0" w:space="0" w:color="auto"/>
        <w:bottom w:val="none" w:sz="0" w:space="0" w:color="auto"/>
        <w:right w:val="none" w:sz="0" w:space="0" w:color="auto"/>
      </w:divBdr>
    </w:div>
    <w:div w:id="1127360624">
      <w:bodyDiv w:val="1"/>
      <w:marLeft w:val="0"/>
      <w:marRight w:val="0"/>
      <w:marTop w:val="0"/>
      <w:marBottom w:val="0"/>
      <w:divBdr>
        <w:top w:val="none" w:sz="0" w:space="0" w:color="auto"/>
        <w:left w:val="none" w:sz="0" w:space="0" w:color="auto"/>
        <w:bottom w:val="none" w:sz="0" w:space="0" w:color="auto"/>
        <w:right w:val="none" w:sz="0" w:space="0" w:color="auto"/>
      </w:divBdr>
    </w:div>
    <w:div w:id="1346175243">
      <w:bodyDiv w:val="1"/>
      <w:marLeft w:val="0"/>
      <w:marRight w:val="0"/>
      <w:marTop w:val="0"/>
      <w:marBottom w:val="0"/>
      <w:divBdr>
        <w:top w:val="none" w:sz="0" w:space="0" w:color="auto"/>
        <w:left w:val="none" w:sz="0" w:space="0" w:color="auto"/>
        <w:bottom w:val="none" w:sz="0" w:space="0" w:color="auto"/>
        <w:right w:val="none" w:sz="0" w:space="0" w:color="auto"/>
      </w:divBdr>
    </w:div>
    <w:div w:id="1576552757">
      <w:bodyDiv w:val="1"/>
      <w:marLeft w:val="0"/>
      <w:marRight w:val="0"/>
      <w:marTop w:val="0"/>
      <w:marBottom w:val="0"/>
      <w:divBdr>
        <w:top w:val="none" w:sz="0" w:space="0" w:color="auto"/>
        <w:left w:val="none" w:sz="0" w:space="0" w:color="auto"/>
        <w:bottom w:val="none" w:sz="0" w:space="0" w:color="auto"/>
        <w:right w:val="none" w:sz="0" w:space="0" w:color="auto"/>
      </w:divBdr>
    </w:div>
    <w:div w:id="1757094083">
      <w:bodyDiv w:val="1"/>
      <w:marLeft w:val="0"/>
      <w:marRight w:val="0"/>
      <w:marTop w:val="0"/>
      <w:marBottom w:val="0"/>
      <w:divBdr>
        <w:top w:val="none" w:sz="0" w:space="0" w:color="auto"/>
        <w:left w:val="none" w:sz="0" w:space="0" w:color="auto"/>
        <w:bottom w:val="none" w:sz="0" w:space="0" w:color="auto"/>
        <w:right w:val="none" w:sz="0" w:space="0" w:color="auto"/>
      </w:divBdr>
    </w:div>
    <w:div w:id="1969897205">
      <w:bodyDiv w:val="1"/>
      <w:marLeft w:val="0"/>
      <w:marRight w:val="0"/>
      <w:marTop w:val="0"/>
      <w:marBottom w:val="0"/>
      <w:divBdr>
        <w:top w:val="none" w:sz="0" w:space="0" w:color="auto"/>
        <w:left w:val="none" w:sz="0" w:space="0" w:color="auto"/>
        <w:bottom w:val="none" w:sz="0" w:space="0" w:color="auto"/>
        <w:right w:val="none" w:sz="0" w:space="0" w:color="auto"/>
      </w:divBdr>
    </w:div>
    <w:div w:id="201892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5467</Words>
  <Characters>29527</Characters>
  <Application>Microsoft Office Word</Application>
  <DocSecurity>0</DocSecurity>
  <Lines>246</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vostro</dc:creator>
  <cp:keywords/>
  <dc:description/>
  <cp:lastModifiedBy>3020</cp:lastModifiedBy>
  <cp:revision>5</cp:revision>
  <cp:lastPrinted>2026-03-24T08:31:00Z</cp:lastPrinted>
  <dcterms:created xsi:type="dcterms:W3CDTF">2026-04-15T09:14:00Z</dcterms:created>
  <dcterms:modified xsi:type="dcterms:W3CDTF">2026-04-15T12:25:00Z</dcterms:modified>
</cp:coreProperties>
</file>