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D27ED" w14:textId="433995C4" w:rsidR="00E97D54" w:rsidRPr="00ED3880" w:rsidRDefault="00ED3880" w:rsidP="00ED3880">
      <w:pPr>
        <w:pStyle w:val="Heading1"/>
        <w:tabs>
          <w:tab w:val="clear" w:pos="432"/>
        </w:tabs>
        <w:ind w:left="0" w:firstLine="0"/>
        <w:jc w:val="center"/>
        <w:rPr>
          <w:rFonts w:ascii="Calibri" w:eastAsia="Times" w:hAnsi="Calibri"/>
          <w:b/>
          <w:kern w:val="1"/>
          <w:lang w:val="en-US" w:eastAsia="en-US"/>
        </w:rPr>
      </w:pPr>
      <w:proofErr w:type="spellStart"/>
      <w:r w:rsidRPr="00082C48">
        <w:rPr>
          <w:rFonts w:ascii="Calibri" w:hAnsi="Calibri"/>
          <w:b/>
          <w:bCs/>
          <w:sz w:val="28"/>
          <w:szCs w:val="28"/>
          <w:lang w:val="en-US"/>
        </w:rPr>
        <w:t>Reconceptualising</w:t>
      </w:r>
      <w:proofErr w:type="spellEnd"/>
      <w:r w:rsidRPr="00082C48">
        <w:rPr>
          <w:rFonts w:ascii="Calibri" w:hAnsi="Calibri"/>
          <w:b/>
          <w:bCs/>
          <w:sz w:val="28"/>
          <w:szCs w:val="28"/>
          <w:lang w:val="en-US"/>
        </w:rPr>
        <w:t xml:space="preserve"> Practicum Supervision in Initial Teacher Education: Empirical Insights from Pre-Service Teachers</w:t>
      </w:r>
      <w:r>
        <w:rPr>
          <w:rFonts w:ascii="Calibri" w:hAnsi="Calibri"/>
          <w:b/>
          <w:bCs/>
          <w:sz w:val="28"/>
          <w:szCs w:val="28"/>
          <w:lang w:val="en-US"/>
        </w:rPr>
        <w:t xml:space="preserve"> </w:t>
      </w:r>
    </w:p>
    <w:p w14:paraId="4EF16186" w14:textId="77777777" w:rsidR="0026520E" w:rsidRPr="00ED3880" w:rsidRDefault="0026520E" w:rsidP="0026520E">
      <w:pPr>
        <w:suppressAutoHyphens w:val="0"/>
        <w:autoSpaceDE w:val="0"/>
        <w:autoSpaceDN w:val="0"/>
        <w:adjustRightInd w:val="0"/>
        <w:jc w:val="center"/>
        <w:rPr>
          <w:rFonts w:ascii="Calibri" w:hAnsi="Calibri" w:cs="Calibri"/>
          <w:b/>
          <w:bCs/>
          <w:color w:val="000000"/>
          <w:sz w:val="24"/>
          <w:lang w:val="en-US" w:eastAsia="el-GR"/>
        </w:rPr>
      </w:pPr>
    </w:p>
    <w:p w14:paraId="1D3734E3" w14:textId="12589F47" w:rsidR="0026520E" w:rsidRPr="00082C48" w:rsidRDefault="00F105C6" w:rsidP="0026520E">
      <w:pPr>
        <w:jc w:val="center"/>
        <w:rPr>
          <w:rFonts w:ascii="Calibri" w:eastAsia="Times" w:hAnsi="Calibri" w:cs="Calibri"/>
          <w:bCs/>
          <w:sz w:val="24"/>
          <w:lang w:val="en-US" w:eastAsia="en-US"/>
        </w:rPr>
      </w:pPr>
      <w:bookmarkStart w:id="0" w:name="_Hlk64797426"/>
      <w:proofErr w:type="spellStart"/>
      <w:r>
        <w:rPr>
          <w:rFonts w:ascii="Calibri" w:hAnsi="Calibri" w:cs="Calibri"/>
          <w:b/>
          <w:bCs/>
          <w:color w:val="000000"/>
          <w:sz w:val="24"/>
          <w:lang w:val="en-US" w:eastAsia="el-GR"/>
        </w:rPr>
        <w:t>Goria</w:t>
      </w:r>
      <w:proofErr w:type="spellEnd"/>
      <w:r w:rsidRPr="00082C48">
        <w:rPr>
          <w:rFonts w:ascii="Calibri" w:hAnsi="Calibri" w:cs="Calibri"/>
          <w:b/>
          <w:bCs/>
          <w:color w:val="000000"/>
          <w:sz w:val="24"/>
          <w:lang w:val="en-US" w:eastAsia="el-GR"/>
        </w:rPr>
        <w:t xml:space="preserve"> </w:t>
      </w:r>
      <w:r>
        <w:rPr>
          <w:rFonts w:ascii="Calibri" w:hAnsi="Calibri" w:cs="Calibri"/>
          <w:b/>
          <w:bCs/>
          <w:color w:val="000000"/>
          <w:sz w:val="24"/>
          <w:lang w:val="en-US" w:eastAsia="el-GR"/>
        </w:rPr>
        <w:t>Sophia</w:t>
      </w:r>
      <w:r w:rsidR="0026520E" w:rsidRPr="00082C48">
        <w:rPr>
          <w:rFonts w:ascii="Calibri" w:hAnsi="Calibri" w:cs="Calibri"/>
          <w:b/>
          <w:bCs/>
          <w:color w:val="000000"/>
          <w:sz w:val="24"/>
          <w:lang w:val="en-US" w:eastAsia="el-GR"/>
        </w:rPr>
        <w:t xml:space="preserve"> </w:t>
      </w:r>
    </w:p>
    <w:p w14:paraId="69F4AED2" w14:textId="64725CA2" w:rsidR="0026520E" w:rsidRPr="00F105C6" w:rsidRDefault="00F105C6" w:rsidP="0026520E">
      <w:pPr>
        <w:jc w:val="center"/>
        <w:rPr>
          <w:rFonts w:ascii="Calibri" w:hAnsi="Calibri" w:cs="Calibri"/>
          <w:sz w:val="22"/>
          <w:szCs w:val="22"/>
          <w:lang w:val="en-US"/>
        </w:rPr>
      </w:pPr>
      <w:r>
        <w:rPr>
          <w:rFonts w:ascii="Calibri" w:eastAsia="Times" w:hAnsi="Calibri" w:cs="Calibri"/>
          <w:sz w:val="22"/>
          <w:szCs w:val="22"/>
          <w:lang w:val="en-US" w:eastAsia="en-US"/>
        </w:rPr>
        <w:t>Laboratory</w:t>
      </w:r>
      <w:r w:rsidRPr="00F105C6">
        <w:rPr>
          <w:rFonts w:ascii="Calibri" w:eastAsia="Times" w:hAnsi="Calibri" w:cs="Calibri"/>
          <w:sz w:val="22"/>
          <w:szCs w:val="22"/>
          <w:lang w:val="en-US" w:eastAsia="en-US"/>
        </w:rPr>
        <w:t xml:space="preserve"> </w:t>
      </w:r>
      <w:r>
        <w:rPr>
          <w:rFonts w:ascii="Calibri" w:eastAsia="Times" w:hAnsi="Calibri" w:cs="Calibri"/>
          <w:sz w:val="22"/>
          <w:szCs w:val="22"/>
          <w:lang w:val="en-US" w:eastAsia="en-US"/>
        </w:rPr>
        <w:t>Teaching</w:t>
      </w:r>
      <w:r w:rsidRPr="00F105C6">
        <w:rPr>
          <w:rFonts w:ascii="Calibri" w:eastAsia="Times" w:hAnsi="Calibri" w:cs="Calibri"/>
          <w:sz w:val="22"/>
          <w:szCs w:val="22"/>
          <w:lang w:val="en-US" w:eastAsia="en-US"/>
        </w:rPr>
        <w:t xml:space="preserve"> </w:t>
      </w:r>
      <w:r>
        <w:rPr>
          <w:rFonts w:ascii="Calibri" w:eastAsia="Times" w:hAnsi="Calibri" w:cs="Calibri"/>
          <w:sz w:val="22"/>
          <w:szCs w:val="22"/>
          <w:lang w:val="en-US" w:eastAsia="en-US"/>
        </w:rPr>
        <w:t>Staff</w:t>
      </w:r>
      <w:r w:rsidRPr="00F105C6">
        <w:rPr>
          <w:rFonts w:ascii="Calibri" w:eastAsia="Times" w:hAnsi="Calibri" w:cs="Calibri"/>
          <w:sz w:val="22"/>
          <w:szCs w:val="22"/>
          <w:lang w:val="en-US" w:eastAsia="en-US"/>
        </w:rPr>
        <w:t xml:space="preserve">, </w:t>
      </w:r>
      <w:r>
        <w:rPr>
          <w:rFonts w:ascii="Calibri" w:eastAsia="Times" w:hAnsi="Calibri" w:cs="Calibri"/>
          <w:sz w:val="22"/>
          <w:szCs w:val="22"/>
          <w:lang w:val="en-US" w:eastAsia="en-US"/>
        </w:rPr>
        <w:t>University</w:t>
      </w:r>
      <w:r w:rsidRPr="00F105C6">
        <w:rPr>
          <w:rFonts w:ascii="Calibri" w:eastAsia="Times" w:hAnsi="Calibri" w:cs="Calibri"/>
          <w:sz w:val="22"/>
          <w:szCs w:val="22"/>
          <w:lang w:val="en-US" w:eastAsia="en-US"/>
        </w:rPr>
        <w:t xml:space="preserve"> </w:t>
      </w:r>
      <w:r>
        <w:rPr>
          <w:rFonts w:ascii="Calibri" w:eastAsia="Times" w:hAnsi="Calibri" w:cs="Calibri"/>
          <w:sz w:val="22"/>
          <w:szCs w:val="22"/>
          <w:lang w:val="en-US" w:eastAsia="en-US"/>
        </w:rPr>
        <w:t>of</w:t>
      </w:r>
      <w:r w:rsidRPr="00F105C6">
        <w:rPr>
          <w:rFonts w:ascii="Calibri" w:eastAsia="Times" w:hAnsi="Calibri" w:cs="Calibri"/>
          <w:sz w:val="22"/>
          <w:szCs w:val="22"/>
          <w:lang w:val="en-US" w:eastAsia="en-US"/>
        </w:rPr>
        <w:t xml:space="preserve"> </w:t>
      </w:r>
      <w:r>
        <w:rPr>
          <w:rFonts w:ascii="Calibri" w:eastAsia="Times" w:hAnsi="Calibri" w:cs="Calibri"/>
          <w:sz w:val="22"/>
          <w:szCs w:val="22"/>
          <w:lang w:val="en-US" w:eastAsia="en-US"/>
        </w:rPr>
        <w:t>Thessaly</w:t>
      </w:r>
      <w:r w:rsidRPr="00F105C6">
        <w:rPr>
          <w:rFonts w:ascii="Calibri" w:eastAsia="Times" w:hAnsi="Calibri" w:cs="Calibri"/>
          <w:sz w:val="22"/>
          <w:szCs w:val="22"/>
          <w:lang w:val="en-US" w:eastAsia="en-US"/>
        </w:rPr>
        <w:t xml:space="preserve"> </w:t>
      </w:r>
    </w:p>
    <w:p w14:paraId="6AE39DA1" w14:textId="3089BBD3" w:rsidR="0026520E" w:rsidRPr="00082C48" w:rsidRDefault="00F105C6" w:rsidP="0026520E">
      <w:pPr>
        <w:jc w:val="center"/>
        <w:rPr>
          <w:rFonts w:ascii="Calibri" w:hAnsi="Calibri" w:cs="Calibri"/>
          <w:sz w:val="22"/>
          <w:szCs w:val="22"/>
          <w:lang w:val="en-US"/>
        </w:rPr>
      </w:pPr>
      <w:r w:rsidRPr="00F105C6">
        <w:rPr>
          <w:rFonts w:ascii="Calibri" w:hAnsi="Calibri" w:cs="Calibri"/>
          <w:sz w:val="22"/>
          <w:szCs w:val="22"/>
          <w:lang w:val="en-US"/>
        </w:rPr>
        <w:t>sgkoria</w:t>
      </w:r>
      <w:r w:rsidRPr="00082C48">
        <w:rPr>
          <w:rFonts w:ascii="Calibri" w:hAnsi="Calibri" w:cs="Calibri"/>
          <w:sz w:val="22"/>
          <w:szCs w:val="22"/>
          <w:lang w:val="en-US"/>
        </w:rPr>
        <w:t>@</w:t>
      </w:r>
      <w:r w:rsidRPr="00F105C6">
        <w:rPr>
          <w:rFonts w:ascii="Calibri" w:hAnsi="Calibri" w:cs="Calibri"/>
          <w:sz w:val="22"/>
          <w:szCs w:val="22"/>
          <w:lang w:val="en-US"/>
        </w:rPr>
        <w:t>uth</w:t>
      </w:r>
      <w:r w:rsidRPr="00082C48">
        <w:rPr>
          <w:rFonts w:ascii="Calibri" w:hAnsi="Calibri" w:cs="Calibri"/>
          <w:sz w:val="22"/>
          <w:szCs w:val="22"/>
          <w:lang w:val="en-US"/>
        </w:rPr>
        <w:t>.</w:t>
      </w:r>
      <w:r w:rsidRPr="00F105C6">
        <w:rPr>
          <w:rFonts w:ascii="Calibri" w:hAnsi="Calibri" w:cs="Calibri"/>
          <w:sz w:val="22"/>
          <w:szCs w:val="22"/>
          <w:lang w:val="en-US"/>
        </w:rPr>
        <w:t>gr</w:t>
      </w:r>
      <w:r w:rsidRPr="00082C48">
        <w:rPr>
          <w:rFonts w:ascii="Calibri" w:hAnsi="Calibri" w:cs="Calibri"/>
          <w:sz w:val="22"/>
          <w:szCs w:val="22"/>
          <w:lang w:val="en-US"/>
        </w:rPr>
        <w:t xml:space="preserve"> </w:t>
      </w:r>
    </w:p>
    <w:p w14:paraId="3923268B" w14:textId="77777777" w:rsidR="0026520E" w:rsidRPr="00082C48" w:rsidRDefault="0026520E" w:rsidP="0026520E">
      <w:pPr>
        <w:jc w:val="center"/>
        <w:rPr>
          <w:rFonts w:ascii="Calibri" w:eastAsia="Times" w:hAnsi="Calibri" w:cs="Calibri"/>
          <w:sz w:val="28"/>
          <w:szCs w:val="28"/>
          <w:lang w:val="en-US" w:eastAsia="en-US"/>
        </w:rPr>
      </w:pPr>
    </w:p>
    <w:bookmarkEnd w:id="0"/>
    <w:p w14:paraId="0007F345" w14:textId="6D6E1A32" w:rsidR="00E97D54" w:rsidRPr="009557D8" w:rsidRDefault="00F105C6" w:rsidP="009557D8">
      <w:pPr>
        <w:spacing w:before="240"/>
        <w:ind w:firstLine="284"/>
        <w:outlineLvl w:val="0"/>
        <w:rPr>
          <w:rFonts w:ascii="Calibri" w:hAnsi="Calibri" w:cs="Calibri"/>
          <w:b/>
          <w:bCs/>
          <w:sz w:val="22"/>
          <w:szCs w:val="22"/>
          <w:lang w:val="en-US"/>
        </w:rPr>
      </w:pPr>
      <w:r w:rsidRPr="009557D8">
        <w:rPr>
          <w:rFonts w:ascii="Calibri" w:hAnsi="Calibri" w:cs="Calibri"/>
          <w:b/>
          <w:bCs/>
          <w:sz w:val="22"/>
          <w:szCs w:val="22"/>
          <w:lang w:val="en-US"/>
        </w:rPr>
        <w:t>Abstract</w:t>
      </w:r>
    </w:p>
    <w:p w14:paraId="6A4662B1" w14:textId="77777777" w:rsidR="00F105C6" w:rsidRPr="00F105C6" w:rsidRDefault="00F105C6" w:rsidP="00F105C6">
      <w:pPr>
        <w:ind w:firstLine="284"/>
        <w:jc w:val="both"/>
        <w:rPr>
          <w:rFonts w:ascii="Calibri" w:hAnsi="Calibri"/>
          <w:sz w:val="22"/>
          <w:szCs w:val="22"/>
          <w:lang w:val="en-US"/>
        </w:rPr>
      </w:pPr>
      <w:r w:rsidRPr="00F105C6">
        <w:rPr>
          <w:rFonts w:ascii="Calibri" w:hAnsi="Calibri"/>
          <w:sz w:val="22"/>
          <w:szCs w:val="22"/>
          <w:lang w:val="en-US"/>
        </w:rPr>
        <w:t>This study explores pre-service early childhood teachers’ perceptions of supervision during the teaching practicum, with a focus on the roles, practices, and organizational conditions that contribute to effective support in initial teacher education. Using a mixed-methods design, quantitative data from questionnaires (</w:t>
      </w:r>
      <w:r w:rsidRPr="00F105C6">
        <w:rPr>
          <w:rFonts w:ascii="Calibri" w:hAnsi="Calibri"/>
          <w:iCs/>
          <w:sz w:val="22"/>
          <w:szCs w:val="22"/>
          <w:lang w:val="en-US"/>
        </w:rPr>
        <w:t>N</w:t>
      </w:r>
      <w:r w:rsidRPr="00F105C6">
        <w:rPr>
          <w:rFonts w:ascii="Calibri" w:hAnsi="Calibri"/>
          <w:sz w:val="22"/>
          <w:szCs w:val="22"/>
          <w:lang w:val="en-US"/>
        </w:rPr>
        <w:t xml:space="preserve"> = 221) and qualitative data from open-ended responses were analyzed to examine students’ views on supervision, feedback, communication, and improvement needs. Findings indicate that supervision is primarily perceived as a process of pedagogical guidance, advisory support, and structured feedback, while relational elements associated with mentoring are valued as complementary rather than dominant. Students emphasized the importance of supervisors’ teaching experience, small-group, face-to-face feedback, frequent communication, and manageable supervisor–student ratios. The study concludes that a hybrid supervision model—supervision-led and mentoring-informed—offers a pedagogically sound and innovative framework for enhancing the quality of the teaching practicum in initial teacher education.</w:t>
      </w:r>
    </w:p>
    <w:p w14:paraId="205FAADF" w14:textId="77777777" w:rsidR="00F105C6" w:rsidRPr="00F105C6" w:rsidRDefault="00F105C6" w:rsidP="009557D8">
      <w:pPr>
        <w:spacing w:before="120"/>
        <w:ind w:firstLine="284"/>
        <w:jc w:val="both"/>
        <w:rPr>
          <w:rFonts w:ascii="Calibri" w:hAnsi="Calibri"/>
          <w:b/>
          <w:bCs/>
          <w:sz w:val="22"/>
          <w:szCs w:val="22"/>
          <w:lang w:val="en-US"/>
        </w:rPr>
      </w:pPr>
      <w:r w:rsidRPr="00F105C6">
        <w:rPr>
          <w:rFonts w:ascii="Calibri" w:hAnsi="Calibri"/>
          <w:b/>
          <w:bCs/>
          <w:sz w:val="22"/>
          <w:szCs w:val="22"/>
          <w:lang w:val="en-US"/>
        </w:rPr>
        <w:t xml:space="preserve">Keywords: </w:t>
      </w:r>
      <w:r w:rsidRPr="00F105C6">
        <w:rPr>
          <w:rFonts w:ascii="Calibri" w:hAnsi="Calibri"/>
          <w:bCs/>
          <w:sz w:val="22"/>
          <w:szCs w:val="22"/>
          <w:lang w:val="en-US"/>
        </w:rPr>
        <w:t>teaching practicum, supervision, initial teacher education, mentoring, early childhood teachers</w:t>
      </w:r>
    </w:p>
    <w:p w14:paraId="2D80CB4E" w14:textId="6950D05A" w:rsidR="00F105C6" w:rsidRPr="009557D8" w:rsidRDefault="00F105C6" w:rsidP="009557D8">
      <w:pPr>
        <w:spacing w:before="240"/>
        <w:ind w:firstLine="284"/>
        <w:outlineLvl w:val="0"/>
        <w:rPr>
          <w:rFonts w:ascii="Calibri" w:hAnsi="Calibri" w:cs="Calibri"/>
          <w:b/>
          <w:bCs/>
          <w:sz w:val="22"/>
          <w:szCs w:val="22"/>
          <w:lang w:val="en-US"/>
        </w:rPr>
      </w:pPr>
      <w:r w:rsidRPr="009557D8">
        <w:rPr>
          <w:rFonts w:ascii="Calibri" w:hAnsi="Calibri" w:cs="Calibri"/>
          <w:b/>
          <w:bCs/>
          <w:sz w:val="22"/>
          <w:szCs w:val="22"/>
          <w:lang w:val="en-US"/>
        </w:rPr>
        <w:t>Introduction</w:t>
      </w:r>
    </w:p>
    <w:p w14:paraId="0A210C6C" w14:textId="77777777" w:rsidR="00F76AC5" w:rsidRPr="00F76AC5" w:rsidRDefault="00F76AC5" w:rsidP="00F76AC5">
      <w:pPr>
        <w:suppressAutoHyphens w:val="0"/>
        <w:ind w:firstLine="284"/>
        <w:jc w:val="both"/>
        <w:rPr>
          <w:rFonts w:asciiTheme="minorHAnsi" w:hAnsiTheme="minorHAnsi" w:cstheme="minorHAnsi"/>
          <w:sz w:val="22"/>
          <w:szCs w:val="22"/>
          <w:lang w:val="en-US" w:eastAsia="el-GR"/>
        </w:rPr>
      </w:pPr>
      <w:r w:rsidRPr="00F76AC5">
        <w:rPr>
          <w:rFonts w:asciiTheme="minorHAnsi" w:hAnsiTheme="minorHAnsi" w:cstheme="minorHAnsi"/>
          <w:sz w:val="22"/>
          <w:szCs w:val="22"/>
          <w:lang w:val="en-US" w:eastAsia="el-GR"/>
        </w:rPr>
        <w:t>The practicum represents a central component of initial teacher education, as it enables pre-service teachers to participate in authentic educational contexts and to gradually develop professional competences and professional identity (Darling-Hammond, 2017). International research has consistently shown that the effectiveness of the practicum does not depend solely on its duration or formal structure, but largely on the quality of pedagogical support accompanying it, particularly in terms of how supervision roles, responsibilities, and feedback processes are organized (Clarke et al., 2014).</w:t>
      </w:r>
    </w:p>
    <w:p w14:paraId="30E63725" w14:textId="41E5E8D1" w:rsidR="00F76AC5" w:rsidRPr="00F76AC5" w:rsidRDefault="00F76AC5" w:rsidP="00F76AC5">
      <w:pPr>
        <w:suppressAutoHyphens w:val="0"/>
        <w:ind w:firstLine="284"/>
        <w:jc w:val="both"/>
        <w:rPr>
          <w:rFonts w:asciiTheme="minorHAnsi" w:hAnsiTheme="minorHAnsi" w:cstheme="minorHAnsi"/>
          <w:sz w:val="22"/>
          <w:szCs w:val="22"/>
          <w:lang w:val="en-US" w:eastAsia="el-GR"/>
        </w:rPr>
      </w:pPr>
      <w:r w:rsidRPr="00F76AC5">
        <w:rPr>
          <w:rFonts w:asciiTheme="minorHAnsi" w:hAnsiTheme="minorHAnsi" w:cstheme="minorHAnsi"/>
          <w:sz w:val="22"/>
          <w:szCs w:val="22"/>
          <w:lang w:val="en-US" w:eastAsia="el-GR"/>
        </w:rPr>
        <w:t>Within this context, both supervision and mentoring have been highlighted in the literature as key mechanisms for supporting student teachers during the practicum. High-quality support relationships have been associated with enhanced engagement, professional confidence, and psychological safety among pre-service teachers (</w:t>
      </w:r>
      <w:proofErr w:type="spellStart"/>
      <w:r w:rsidRPr="00F76AC5">
        <w:rPr>
          <w:rFonts w:asciiTheme="minorHAnsi" w:hAnsiTheme="minorHAnsi" w:cstheme="minorHAnsi"/>
          <w:sz w:val="22"/>
          <w:szCs w:val="22"/>
          <w:lang w:val="en-US" w:eastAsia="el-GR"/>
        </w:rPr>
        <w:t>Ambrosetti</w:t>
      </w:r>
      <w:proofErr w:type="spellEnd"/>
      <w:r w:rsidRPr="00F76AC5">
        <w:rPr>
          <w:rFonts w:asciiTheme="minorHAnsi" w:hAnsiTheme="minorHAnsi" w:cstheme="minorHAnsi"/>
          <w:sz w:val="22"/>
          <w:szCs w:val="22"/>
          <w:lang w:val="en-US" w:eastAsia="el-GR"/>
        </w:rPr>
        <w:t>, 2014; Hudson, 2016). At the same time, the need for systematic feedback and organizational coherence positions supervision as the dominant institutional framework in many initial teacher education programs, with mentoring often functioning as a complementary or integrated component within hybrid models of support (Glickman et al., 20</w:t>
      </w:r>
      <w:r w:rsidR="001E2AC5">
        <w:rPr>
          <w:rFonts w:asciiTheme="minorHAnsi" w:hAnsiTheme="minorHAnsi" w:cstheme="minorHAnsi"/>
          <w:sz w:val="22"/>
          <w:szCs w:val="22"/>
          <w:lang w:val="en-US" w:eastAsia="el-GR"/>
        </w:rPr>
        <w:t>24</w:t>
      </w:r>
      <w:r w:rsidRPr="00F76AC5">
        <w:rPr>
          <w:rFonts w:asciiTheme="minorHAnsi" w:hAnsiTheme="minorHAnsi" w:cstheme="minorHAnsi"/>
          <w:sz w:val="22"/>
          <w:szCs w:val="22"/>
          <w:lang w:val="en-US" w:eastAsia="el-GR"/>
        </w:rPr>
        <w:t>; Hattie &amp; Timperley, 2007). Recent developments, particularly following the expansion of digital and hybrid forms of observation and feedback, further indicate that supervision models are evolving in response to changing educational conditions while retaining their structural role (Agnew et al., 2024).</w:t>
      </w:r>
    </w:p>
    <w:p w14:paraId="0ADE4ADB" w14:textId="3077234D" w:rsidR="00F76AC5" w:rsidRPr="00F76AC5" w:rsidRDefault="00F76AC5" w:rsidP="00F76AC5">
      <w:pPr>
        <w:suppressAutoHyphens w:val="0"/>
        <w:ind w:firstLine="284"/>
        <w:jc w:val="both"/>
        <w:rPr>
          <w:rFonts w:asciiTheme="minorHAnsi" w:hAnsiTheme="minorHAnsi" w:cstheme="minorHAnsi"/>
          <w:sz w:val="22"/>
          <w:szCs w:val="22"/>
          <w:lang w:val="en-US" w:eastAsia="el-GR"/>
        </w:rPr>
      </w:pPr>
      <w:r w:rsidRPr="00F76AC5">
        <w:rPr>
          <w:rFonts w:asciiTheme="minorHAnsi" w:hAnsiTheme="minorHAnsi" w:cstheme="minorHAnsi"/>
          <w:sz w:val="22"/>
          <w:szCs w:val="22"/>
          <w:lang w:val="en-US" w:eastAsia="el-GR"/>
        </w:rPr>
        <w:t xml:space="preserve">Despite the growing body of international research, less attention has been paid to the perspectives of pre-service teachers themselves, especially regarding how they </w:t>
      </w:r>
      <w:r w:rsidR="00F12026" w:rsidRPr="00F76AC5">
        <w:rPr>
          <w:rFonts w:asciiTheme="minorHAnsi" w:hAnsiTheme="minorHAnsi" w:cstheme="minorHAnsi"/>
          <w:sz w:val="22"/>
          <w:szCs w:val="22"/>
          <w:lang w:val="en-US" w:eastAsia="el-GR"/>
        </w:rPr>
        <w:t>conceptualize</w:t>
      </w:r>
      <w:r w:rsidRPr="00F76AC5">
        <w:rPr>
          <w:rFonts w:asciiTheme="minorHAnsi" w:hAnsiTheme="minorHAnsi" w:cstheme="minorHAnsi"/>
          <w:sz w:val="22"/>
          <w:szCs w:val="22"/>
          <w:lang w:val="en-US" w:eastAsia="el-GR"/>
        </w:rPr>
        <w:t xml:space="preserve"> the role, practices, and effectiveness of supervision during the practicum. This gap is particularly evident in the field of early childhood education, where practicum experiences are shaped by specific pedagogical and contextual characteristics.</w:t>
      </w:r>
    </w:p>
    <w:p w14:paraId="0CEA60D2" w14:textId="77777777" w:rsidR="00F76AC5" w:rsidRPr="00F76AC5" w:rsidRDefault="00F76AC5" w:rsidP="00F76AC5">
      <w:pPr>
        <w:suppressAutoHyphens w:val="0"/>
        <w:ind w:firstLine="284"/>
        <w:jc w:val="both"/>
        <w:rPr>
          <w:rFonts w:asciiTheme="minorHAnsi" w:hAnsiTheme="minorHAnsi" w:cstheme="minorHAnsi"/>
          <w:sz w:val="22"/>
          <w:szCs w:val="22"/>
          <w:lang w:val="en-US" w:eastAsia="el-GR"/>
        </w:rPr>
      </w:pPr>
      <w:r w:rsidRPr="00F76AC5">
        <w:rPr>
          <w:rFonts w:asciiTheme="minorHAnsi" w:hAnsiTheme="minorHAnsi" w:cstheme="minorHAnsi"/>
          <w:sz w:val="22"/>
          <w:szCs w:val="22"/>
          <w:lang w:val="en-US" w:eastAsia="el-GR"/>
        </w:rPr>
        <w:lastRenderedPageBreak/>
        <w:t>The present study seeks to address this gap by examining the perceptions, expectations, and proposals of students enrolled in Early Childhood Education departments regarding supervision during their practicum. By foregrounding student teachers’ voices, the study aims to contribute empirical evidence to the ongoing discussion on effective and innovative supervision models in initial teacher education.</w:t>
      </w:r>
    </w:p>
    <w:p w14:paraId="169100AE" w14:textId="77777777" w:rsidR="00F76AC5" w:rsidRPr="00F76AC5" w:rsidRDefault="00F76AC5" w:rsidP="00F76AC5">
      <w:pPr>
        <w:suppressAutoHyphens w:val="0"/>
        <w:spacing w:before="240"/>
        <w:ind w:firstLine="284"/>
        <w:outlineLvl w:val="2"/>
        <w:rPr>
          <w:rFonts w:asciiTheme="minorHAnsi" w:hAnsiTheme="minorHAnsi" w:cstheme="minorHAnsi"/>
          <w:bCs/>
          <w:i/>
          <w:sz w:val="22"/>
          <w:szCs w:val="22"/>
          <w:lang w:val="en-US" w:eastAsia="el-GR"/>
        </w:rPr>
      </w:pPr>
      <w:r w:rsidRPr="00F76AC5">
        <w:rPr>
          <w:rFonts w:asciiTheme="minorHAnsi" w:hAnsiTheme="minorHAnsi" w:cstheme="minorHAnsi"/>
          <w:bCs/>
          <w:i/>
          <w:sz w:val="22"/>
          <w:szCs w:val="22"/>
          <w:lang w:val="en-US" w:eastAsia="el-GR"/>
        </w:rPr>
        <w:t>Purpose of the Study and Research Questions</w:t>
      </w:r>
    </w:p>
    <w:p w14:paraId="53D3C304" w14:textId="77777777" w:rsidR="00F76AC5" w:rsidRPr="00F76AC5" w:rsidRDefault="00F76AC5" w:rsidP="00F76AC5">
      <w:pPr>
        <w:suppressAutoHyphens w:val="0"/>
        <w:ind w:firstLine="284"/>
        <w:jc w:val="both"/>
        <w:rPr>
          <w:rFonts w:asciiTheme="minorHAnsi" w:hAnsiTheme="minorHAnsi" w:cstheme="minorHAnsi"/>
          <w:sz w:val="22"/>
          <w:szCs w:val="22"/>
          <w:lang w:val="en-US" w:eastAsia="el-GR"/>
        </w:rPr>
      </w:pPr>
      <w:r w:rsidRPr="00F76AC5">
        <w:rPr>
          <w:rFonts w:asciiTheme="minorHAnsi" w:hAnsiTheme="minorHAnsi" w:cstheme="minorHAnsi"/>
          <w:sz w:val="22"/>
          <w:szCs w:val="22"/>
          <w:lang w:val="en-US" w:eastAsia="el-GR"/>
        </w:rPr>
        <w:t>The purpose of the present study is to explore pre-service teachers’ perceptions of supervision in the practicum and to identify the characteristics that constitute an effective supervision model in initial teacher education. Specifically, the study addresses the following research questions:</w:t>
      </w:r>
    </w:p>
    <w:p w14:paraId="7DED45F1" w14:textId="76612040" w:rsidR="00F76AC5" w:rsidRPr="00F76AC5" w:rsidRDefault="00F76AC5" w:rsidP="00F76AC5">
      <w:pPr>
        <w:suppressAutoHyphens w:val="0"/>
        <w:ind w:left="1004"/>
        <w:jc w:val="both"/>
        <w:rPr>
          <w:rFonts w:asciiTheme="minorHAnsi" w:hAnsiTheme="minorHAnsi" w:cstheme="minorHAnsi"/>
          <w:sz w:val="22"/>
          <w:szCs w:val="22"/>
          <w:lang w:val="en-US" w:eastAsia="el-GR"/>
        </w:rPr>
      </w:pPr>
      <w:r w:rsidRPr="00F76AC5">
        <w:rPr>
          <w:rFonts w:asciiTheme="minorHAnsi" w:hAnsiTheme="minorHAnsi" w:cstheme="minorHAnsi"/>
          <w:sz w:val="22"/>
          <w:szCs w:val="22"/>
          <w:lang w:val="en-US" w:eastAsia="el-GR"/>
        </w:rPr>
        <w:t>1.</w:t>
      </w:r>
      <w:r>
        <w:rPr>
          <w:rFonts w:asciiTheme="minorHAnsi" w:hAnsiTheme="minorHAnsi" w:cstheme="minorHAnsi"/>
          <w:sz w:val="22"/>
          <w:szCs w:val="22"/>
          <w:lang w:val="en-US" w:eastAsia="el-GR"/>
        </w:rPr>
        <w:t xml:space="preserve"> </w:t>
      </w:r>
      <w:r w:rsidRPr="00F76AC5">
        <w:rPr>
          <w:rFonts w:asciiTheme="minorHAnsi" w:hAnsiTheme="minorHAnsi" w:cstheme="minorHAnsi"/>
          <w:sz w:val="22"/>
          <w:szCs w:val="22"/>
          <w:lang w:val="en-US" w:eastAsia="el-GR"/>
        </w:rPr>
        <w:t>How do pre-service teachers in Early Childhood Education departments perceive the role and significance of supervision during the practicum?</w:t>
      </w:r>
    </w:p>
    <w:p w14:paraId="12A1386C" w14:textId="587597DA" w:rsidR="00F76AC5" w:rsidRPr="00F76AC5" w:rsidRDefault="00F76AC5" w:rsidP="00F76AC5">
      <w:pPr>
        <w:suppressAutoHyphens w:val="0"/>
        <w:ind w:left="1004"/>
        <w:jc w:val="both"/>
        <w:rPr>
          <w:rFonts w:asciiTheme="minorHAnsi" w:hAnsiTheme="minorHAnsi" w:cstheme="minorHAnsi"/>
          <w:sz w:val="22"/>
          <w:szCs w:val="22"/>
          <w:lang w:val="en-US" w:eastAsia="el-GR"/>
        </w:rPr>
      </w:pPr>
      <w:r>
        <w:rPr>
          <w:rFonts w:asciiTheme="minorHAnsi" w:hAnsiTheme="minorHAnsi" w:cstheme="minorHAnsi"/>
          <w:sz w:val="22"/>
          <w:szCs w:val="22"/>
          <w:lang w:val="en-US" w:eastAsia="el-GR"/>
        </w:rPr>
        <w:t xml:space="preserve">2. </w:t>
      </w:r>
      <w:r w:rsidRPr="00F76AC5">
        <w:rPr>
          <w:rFonts w:asciiTheme="minorHAnsi" w:hAnsiTheme="minorHAnsi" w:cstheme="minorHAnsi"/>
          <w:sz w:val="22"/>
          <w:szCs w:val="22"/>
          <w:lang w:val="en-US" w:eastAsia="el-GR"/>
        </w:rPr>
        <w:t>Which characteristics, forms of collaboration, and supervisory practices do pre-service teachers consider essential for an effective supervision model in initial teacher education?</w:t>
      </w:r>
    </w:p>
    <w:p w14:paraId="4DFE431A" w14:textId="7A3CADCB" w:rsidR="00F76AC5" w:rsidRPr="00F76AC5" w:rsidRDefault="00F76AC5" w:rsidP="00F76AC5">
      <w:pPr>
        <w:suppressAutoHyphens w:val="0"/>
        <w:ind w:left="1004"/>
        <w:jc w:val="both"/>
        <w:rPr>
          <w:rFonts w:asciiTheme="minorHAnsi" w:hAnsiTheme="minorHAnsi" w:cstheme="minorHAnsi"/>
          <w:sz w:val="22"/>
          <w:szCs w:val="22"/>
          <w:lang w:val="en-US" w:eastAsia="el-GR"/>
        </w:rPr>
      </w:pPr>
      <w:r>
        <w:rPr>
          <w:rFonts w:asciiTheme="minorHAnsi" w:hAnsiTheme="minorHAnsi" w:cstheme="minorHAnsi"/>
          <w:sz w:val="22"/>
          <w:szCs w:val="22"/>
          <w:lang w:val="en-US" w:eastAsia="el-GR"/>
        </w:rPr>
        <w:t xml:space="preserve">3. </w:t>
      </w:r>
      <w:r w:rsidRPr="00F76AC5">
        <w:rPr>
          <w:rFonts w:asciiTheme="minorHAnsi" w:hAnsiTheme="minorHAnsi" w:cstheme="minorHAnsi"/>
          <w:sz w:val="22"/>
          <w:szCs w:val="22"/>
          <w:lang w:val="en-US" w:eastAsia="el-GR"/>
        </w:rPr>
        <w:t>What improvements do pre-service teachers propose to enhance the quality and effectiveness of practicum supervision?</w:t>
      </w:r>
    </w:p>
    <w:p w14:paraId="2E611B4E" w14:textId="77777777" w:rsidR="00F76AC5" w:rsidRPr="009557D8" w:rsidRDefault="00F76AC5" w:rsidP="009557D8">
      <w:pPr>
        <w:spacing w:before="240"/>
        <w:ind w:firstLine="284"/>
        <w:outlineLvl w:val="0"/>
        <w:rPr>
          <w:rFonts w:ascii="Calibri" w:hAnsi="Calibri" w:cs="Calibri"/>
          <w:b/>
          <w:bCs/>
          <w:sz w:val="22"/>
          <w:szCs w:val="22"/>
          <w:lang w:val="en-US"/>
        </w:rPr>
      </w:pPr>
      <w:r w:rsidRPr="009557D8">
        <w:rPr>
          <w:rFonts w:ascii="Calibri" w:hAnsi="Calibri" w:cs="Calibri"/>
          <w:b/>
          <w:bCs/>
          <w:sz w:val="22"/>
          <w:szCs w:val="22"/>
          <w:lang w:val="en-US"/>
        </w:rPr>
        <w:t>Theoretical Framework</w:t>
      </w:r>
    </w:p>
    <w:p w14:paraId="5E615786" w14:textId="77777777" w:rsidR="00F76AC5" w:rsidRPr="00F76AC5" w:rsidRDefault="00F76AC5" w:rsidP="00F76AC5">
      <w:pPr>
        <w:suppressAutoHyphens w:val="0"/>
        <w:spacing w:before="240"/>
        <w:ind w:firstLine="284"/>
        <w:outlineLvl w:val="2"/>
        <w:rPr>
          <w:rFonts w:asciiTheme="minorHAnsi" w:hAnsiTheme="minorHAnsi" w:cstheme="minorHAnsi"/>
          <w:bCs/>
          <w:i/>
          <w:sz w:val="22"/>
          <w:szCs w:val="22"/>
          <w:lang w:val="en-US" w:eastAsia="el-GR"/>
        </w:rPr>
      </w:pPr>
      <w:r w:rsidRPr="00F76AC5">
        <w:rPr>
          <w:rFonts w:asciiTheme="minorHAnsi" w:hAnsiTheme="minorHAnsi" w:cstheme="minorHAnsi"/>
          <w:bCs/>
          <w:i/>
          <w:sz w:val="22"/>
          <w:szCs w:val="22"/>
          <w:lang w:val="en-US" w:eastAsia="el-GR"/>
        </w:rPr>
        <w:t>Supervision in the Practicum: From Clinical Supervision to Learning-Oriented Support</w:t>
      </w:r>
    </w:p>
    <w:p w14:paraId="5767A7DD" w14:textId="2F02BBEE" w:rsidR="00F76AC5" w:rsidRPr="00F76AC5" w:rsidRDefault="00F76AC5" w:rsidP="00F76AC5">
      <w:pPr>
        <w:suppressAutoHyphens w:val="0"/>
        <w:ind w:firstLine="284"/>
        <w:jc w:val="both"/>
        <w:rPr>
          <w:rFonts w:asciiTheme="minorHAnsi" w:hAnsiTheme="minorHAnsi" w:cstheme="minorHAnsi"/>
          <w:sz w:val="22"/>
          <w:szCs w:val="22"/>
          <w:lang w:val="en-US" w:eastAsia="el-GR"/>
        </w:rPr>
      </w:pPr>
      <w:r w:rsidRPr="00F76AC5">
        <w:rPr>
          <w:rFonts w:asciiTheme="minorHAnsi" w:hAnsiTheme="minorHAnsi" w:cstheme="minorHAnsi"/>
          <w:sz w:val="22"/>
          <w:szCs w:val="22"/>
          <w:lang w:val="en-US" w:eastAsia="el-GR"/>
        </w:rPr>
        <w:t>Supervision in the practicum is commonly defined as a systematic pedagogical process aimed at guiding, supporting, and providing feedback to pre-service teachers during their professional training (Glickman et al., 20</w:t>
      </w:r>
      <w:r w:rsidR="001E2AC5">
        <w:rPr>
          <w:rFonts w:asciiTheme="minorHAnsi" w:hAnsiTheme="minorHAnsi" w:cstheme="minorHAnsi"/>
          <w:sz w:val="22"/>
          <w:szCs w:val="22"/>
          <w:lang w:val="en-US" w:eastAsia="el-GR"/>
        </w:rPr>
        <w:t>24</w:t>
      </w:r>
      <w:r w:rsidRPr="00F76AC5">
        <w:rPr>
          <w:rFonts w:asciiTheme="minorHAnsi" w:hAnsiTheme="minorHAnsi" w:cstheme="minorHAnsi"/>
          <w:sz w:val="22"/>
          <w:szCs w:val="22"/>
          <w:lang w:val="en-US" w:eastAsia="el-GR"/>
        </w:rPr>
        <w:t>). Traditionally, supervision was closely associated with models of clinical supervision, which focused on structured classroom observation and feedback in order to improve teaching performance. While such models contributed to the professionalization of teaching practice, they have been criticized for their predominantly evaluative and technocratic orientation.</w:t>
      </w:r>
    </w:p>
    <w:p w14:paraId="3E9FB09D" w14:textId="77777777" w:rsidR="00F76AC5" w:rsidRPr="00F76AC5" w:rsidRDefault="00F76AC5" w:rsidP="00F76AC5">
      <w:pPr>
        <w:suppressAutoHyphens w:val="0"/>
        <w:ind w:firstLine="284"/>
        <w:jc w:val="both"/>
        <w:rPr>
          <w:rFonts w:asciiTheme="minorHAnsi" w:hAnsiTheme="minorHAnsi" w:cstheme="minorHAnsi"/>
          <w:sz w:val="22"/>
          <w:szCs w:val="22"/>
          <w:lang w:val="en-US" w:eastAsia="el-GR"/>
        </w:rPr>
      </w:pPr>
      <w:r w:rsidRPr="00F76AC5">
        <w:rPr>
          <w:rFonts w:asciiTheme="minorHAnsi" w:hAnsiTheme="minorHAnsi" w:cstheme="minorHAnsi"/>
          <w:sz w:val="22"/>
          <w:szCs w:val="22"/>
          <w:lang w:val="en-US" w:eastAsia="el-GR"/>
        </w:rPr>
        <w:t>Contemporary literature increasingly conceptualizes supervision as a learning-oriented process that extends beyond monitoring and assessment, emphasizing professional learning, collaboration, and the development of pedagogical judgment (Clarke et al., 2014; Darling-Hammond, 2017). Within this perspective, supervision is understood as a mediating mechanism that supports the integration of theory and practice and facilitates the gradual construction of professional knowledge.</w:t>
      </w:r>
    </w:p>
    <w:p w14:paraId="0F473D05" w14:textId="77777777" w:rsidR="00F76AC5" w:rsidRPr="00F76AC5" w:rsidRDefault="00F76AC5" w:rsidP="00F76AC5">
      <w:pPr>
        <w:suppressAutoHyphens w:val="0"/>
        <w:spacing w:before="240"/>
        <w:ind w:firstLine="284"/>
        <w:outlineLvl w:val="2"/>
        <w:rPr>
          <w:rFonts w:asciiTheme="minorHAnsi" w:hAnsiTheme="minorHAnsi" w:cstheme="minorHAnsi"/>
          <w:bCs/>
          <w:i/>
          <w:sz w:val="22"/>
          <w:szCs w:val="22"/>
          <w:lang w:val="en-US" w:eastAsia="el-GR"/>
        </w:rPr>
      </w:pPr>
      <w:r w:rsidRPr="00F76AC5">
        <w:rPr>
          <w:rFonts w:asciiTheme="minorHAnsi" w:hAnsiTheme="minorHAnsi" w:cstheme="minorHAnsi"/>
          <w:bCs/>
          <w:i/>
          <w:sz w:val="22"/>
          <w:szCs w:val="22"/>
          <w:lang w:val="en-US" w:eastAsia="el-GR"/>
        </w:rPr>
        <w:t>Reflective Practice and Supervision</w:t>
      </w:r>
    </w:p>
    <w:p w14:paraId="3AFCB552" w14:textId="77777777" w:rsidR="00F76AC5" w:rsidRPr="00F76AC5" w:rsidRDefault="00F76AC5" w:rsidP="00F76AC5">
      <w:pPr>
        <w:suppressAutoHyphens w:val="0"/>
        <w:ind w:firstLine="284"/>
        <w:jc w:val="both"/>
        <w:rPr>
          <w:rFonts w:asciiTheme="minorHAnsi" w:hAnsiTheme="minorHAnsi" w:cstheme="minorHAnsi"/>
          <w:sz w:val="22"/>
          <w:szCs w:val="22"/>
          <w:lang w:val="en-US" w:eastAsia="el-GR"/>
        </w:rPr>
      </w:pPr>
      <w:r w:rsidRPr="00F76AC5">
        <w:rPr>
          <w:rFonts w:asciiTheme="minorHAnsi" w:hAnsiTheme="minorHAnsi" w:cstheme="minorHAnsi"/>
          <w:sz w:val="22"/>
          <w:szCs w:val="22"/>
          <w:lang w:val="en-US" w:eastAsia="el-GR"/>
        </w:rPr>
        <w:t xml:space="preserve">Reflective practice constitutes a central theoretical foundation of contemporary supervision models. Drawing on the work of </w:t>
      </w:r>
      <w:proofErr w:type="spellStart"/>
      <w:r w:rsidRPr="00F76AC5">
        <w:rPr>
          <w:rFonts w:asciiTheme="minorHAnsi" w:hAnsiTheme="minorHAnsi" w:cstheme="minorHAnsi"/>
          <w:sz w:val="22"/>
          <w:szCs w:val="22"/>
          <w:lang w:val="en-US" w:eastAsia="el-GR"/>
        </w:rPr>
        <w:t>Schön</w:t>
      </w:r>
      <w:proofErr w:type="spellEnd"/>
      <w:r w:rsidRPr="00F76AC5">
        <w:rPr>
          <w:rFonts w:asciiTheme="minorHAnsi" w:hAnsiTheme="minorHAnsi" w:cstheme="minorHAnsi"/>
          <w:sz w:val="22"/>
          <w:szCs w:val="22"/>
          <w:lang w:val="en-US" w:eastAsia="el-GR"/>
        </w:rPr>
        <w:t xml:space="preserve"> (1983, 1987), reflection is viewed as a process through which professionals examine their actions both during practice (reflection-in-action) and after practice (reflection-on-action), thereby reconstructing their professional understanding.</w:t>
      </w:r>
    </w:p>
    <w:p w14:paraId="0BC4CFBA" w14:textId="3F7AB1D7" w:rsidR="00F76AC5" w:rsidRPr="00F76AC5" w:rsidRDefault="00F76AC5" w:rsidP="00F76AC5">
      <w:pPr>
        <w:suppressAutoHyphens w:val="0"/>
        <w:ind w:firstLine="284"/>
        <w:jc w:val="both"/>
        <w:rPr>
          <w:rFonts w:asciiTheme="minorHAnsi" w:hAnsiTheme="minorHAnsi" w:cstheme="minorHAnsi"/>
          <w:sz w:val="22"/>
          <w:szCs w:val="22"/>
          <w:lang w:val="en-US" w:eastAsia="el-GR"/>
        </w:rPr>
      </w:pPr>
      <w:r w:rsidRPr="00F76AC5">
        <w:rPr>
          <w:rFonts w:asciiTheme="minorHAnsi" w:hAnsiTheme="minorHAnsi" w:cstheme="minorHAnsi"/>
          <w:sz w:val="22"/>
          <w:szCs w:val="22"/>
          <w:lang w:val="en-US" w:eastAsia="el-GR"/>
        </w:rPr>
        <w:t>In initial teacher education, reflective practice is not considered an automatic competence but rather a process that requires systematic pedagogical support (</w:t>
      </w:r>
      <w:proofErr w:type="spellStart"/>
      <w:r w:rsidRPr="00F76AC5">
        <w:rPr>
          <w:rFonts w:asciiTheme="minorHAnsi" w:hAnsiTheme="minorHAnsi" w:cstheme="minorHAnsi"/>
          <w:sz w:val="22"/>
          <w:szCs w:val="22"/>
          <w:lang w:val="en-US" w:eastAsia="el-GR"/>
        </w:rPr>
        <w:t>Boud</w:t>
      </w:r>
      <w:proofErr w:type="spellEnd"/>
      <w:r w:rsidRPr="00F76AC5">
        <w:rPr>
          <w:rFonts w:asciiTheme="minorHAnsi" w:hAnsiTheme="minorHAnsi" w:cstheme="minorHAnsi"/>
          <w:sz w:val="22"/>
          <w:szCs w:val="22"/>
          <w:lang w:val="en-US" w:eastAsia="el-GR"/>
        </w:rPr>
        <w:t xml:space="preserve"> et al., </w:t>
      </w:r>
      <w:r w:rsidR="001E2AC5">
        <w:rPr>
          <w:rFonts w:asciiTheme="minorHAnsi" w:hAnsiTheme="minorHAnsi" w:cstheme="minorHAnsi"/>
          <w:sz w:val="22"/>
          <w:szCs w:val="22"/>
          <w:lang w:val="en-US" w:eastAsia="el-GR"/>
        </w:rPr>
        <w:t>1985</w:t>
      </w:r>
      <w:r w:rsidRPr="00F76AC5">
        <w:rPr>
          <w:rFonts w:asciiTheme="minorHAnsi" w:hAnsiTheme="minorHAnsi" w:cstheme="minorHAnsi"/>
          <w:sz w:val="22"/>
          <w:szCs w:val="22"/>
          <w:lang w:val="en-US" w:eastAsia="el-GR"/>
        </w:rPr>
        <w:t xml:space="preserve">). Supervision provides a structured context for dialogue, critical inquiry, and guided reflection, enabling pre-service teachers to analyze their pedagogical choices, link theoretical concepts with practical experiences, and develop metacognitive awareness and professional judgment </w:t>
      </w:r>
      <w:r w:rsidRPr="00F76AC5">
        <w:rPr>
          <w:rFonts w:asciiTheme="minorHAnsi" w:eastAsiaTheme="minorHAnsi" w:hAnsiTheme="minorHAnsi" w:cstheme="minorHAnsi"/>
          <w:sz w:val="22"/>
          <w:szCs w:val="22"/>
          <w:lang w:val="en-US" w:eastAsia="en-US"/>
        </w:rPr>
        <w:t>(</w:t>
      </w:r>
      <w:proofErr w:type="spellStart"/>
      <w:r w:rsidRPr="00F76AC5">
        <w:rPr>
          <w:rFonts w:asciiTheme="minorHAnsi" w:eastAsiaTheme="minorHAnsi" w:hAnsiTheme="minorHAnsi" w:cstheme="minorHAnsi"/>
          <w:sz w:val="22"/>
          <w:szCs w:val="22"/>
          <w:lang w:val="en-US" w:eastAsia="en-US"/>
        </w:rPr>
        <w:t>Boud</w:t>
      </w:r>
      <w:proofErr w:type="spellEnd"/>
      <w:r w:rsidRPr="00F76AC5">
        <w:rPr>
          <w:rFonts w:asciiTheme="minorHAnsi" w:eastAsiaTheme="minorHAnsi" w:hAnsiTheme="minorHAnsi" w:cstheme="minorHAnsi"/>
          <w:sz w:val="22"/>
          <w:szCs w:val="22"/>
          <w:lang w:val="en-US" w:eastAsia="en-US"/>
        </w:rPr>
        <w:t xml:space="preserve"> et al., </w:t>
      </w:r>
      <w:r w:rsidR="001E2AC5">
        <w:rPr>
          <w:rFonts w:asciiTheme="minorHAnsi" w:eastAsiaTheme="minorHAnsi" w:hAnsiTheme="minorHAnsi" w:cstheme="minorHAnsi"/>
          <w:sz w:val="22"/>
          <w:szCs w:val="22"/>
          <w:lang w:val="en-US" w:eastAsia="en-US"/>
        </w:rPr>
        <w:t>1985</w:t>
      </w:r>
      <w:r w:rsidRPr="00F76AC5">
        <w:rPr>
          <w:rFonts w:asciiTheme="minorHAnsi" w:eastAsiaTheme="minorHAnsi" w:hAnsiTheme="minorHAnsi" w:cstheme="minorHAnsi"/>
          <w:sz w:val="22"/>
          <w:szCs w:val="22"/>
          <w:lang w:val="en-US" w:eastAsia="en-US"/>
        </w:rPr>
        <w:t>; Jay &amp; Johnson, 2002; Miller, 2023).</w:t>
      </w:r>
    </w:p>
    <w:p w14:paraId="1861CA3F" w14:textId="77777777" w:rsidR="00F76AC5" w:rsidRPr="00F76AC5" w:rsidRDefault="00F76AC5" w:rsidP="00F76AC5">
      <w:pPr>
        <w:suppressAutoHyphens w:val="0"/>
        <w:spacing w:before="240"/>
        <w:ind w:firstLine="284"/>
        <w:outlineLvl w:val="2"/>
        <w:rPr>
          <w:rFonts w:asciiTheme="minorHAnsi" w:hAnsiTheme="minorHAnsi" w:cstheme="minorHAnsi"/>
          <w:bCs/>
          <w:i/>
          <w:sz w:val="22"/>
          <w:szCs w:val="22"/>
          <w:lang w:val="en-US" w:eastAsia="el-GR"/>
        </w:rPr>
      </w:pPr>
      <w:r w:rsidRPr="00F76AC5">
        <w:rPr>
          <w:rFonts w:asciiTheme="minorHAnsi" w:hAnsiTheme="minorHAnsi" w:cstheme="minorHAnsi"/>
          <w:bCs/>
          <w:i/>
          <w:sz w:val="22"/>
          <w:szCs w:val="22"/>
          <w:lang w:val="en-US" w:eastAsia="el-GR"/>
        </w:rPr>
        <w:t>Mentoring, Supervision, and Hybrid Models of Support</w:t>
      </w:r>
    </w:p>
    <w:p w14:paraId="7A9884C9" w14:textId="77777777" w:rsidR="00F76AC5" w:rsidRPr="00F76AC5" w:rsidRDefault="00F76AC5" w:rsidP="00F76AC5">
      <w:pPr>
        <w:suppressAutoHyphens w:val="0"/>
        <w:ind w:firstLine="284"/>
        <w:jc w:val="both"/>
        <w:rPr>
          <w:rFonts w:asciiTheme="minorHAnsi" w:hAnsiTheme="minorHAnsi" w:cstheme="minorHAnsi"/>
          <w:sz w:val="22"/>
          <w:szCs w:val="22"/>
          <w:lang w:val="en-US" w:eastAsia="el-GR"/>
        </w:rPr>
      </w:pPr>
      <w:r w:rsidRPr="00F76AC5">
        <w:rPr>
          <w:rFonts w:asciiTheme="minorHAnsi" w:hAnsiTheme="minorHAnsi" w:cstheme="minorHAnsi"/>
          <w:sz w:val="22"/>
          <w:szCs w:val="22"/>
          <w:lang w:val="en-US" w:eastAsia="el-GR"/>
        </w:rPr>
        <w:t xml:space="preserve">Alongside reflective supervision, mentoring has been widely discussed in the literature as a relational form of support characterized by trust, encouragement, and professional </w:t>
      </w:r>
      <w:r w:rsidRPr="00F76AC5">
        <w:rPr>
          <w:rFonts w:asciiTheme="minorHAnsi" w:hAnsiTheme="minorHAnsi" w:cstheme="minorHAnsi"/>
          <w:sz w:val="22"/>
          <w:szCs w:val="22"/>
          <w:lang w:val="en-US" w:eastAsia="el-GR"/>
        </w:rPr>
        <w:lastRenderedPageBreak/>
        <w:t>guidance. In practicum contexts, mentoring contributes to the emotional and social dimensions of learning and supports pre-service teachers’ professional identity development (</w:t>
      </w:r>
      <w:proofErr w:type="spellStart"/>
      <w:r w:rsidRPr="00F76AC5">
        <w:rPr>
          <w:rFonts w:asciiTheme="minorHAnsi" w:hAnsiTheme="minorHAnsi" w:cstheme="minorHAnsi"/>
          <w:sz w:val="22"/>
          <w:szCs w:val="22"/>
          <w:lang w:val="en-US" w:eastAsia="el-GR"/>
        </w:rPr>
        <w:t>Ambrosetti</w:t>
      </w:r>
      <w:proofErr w:type="spellEnd"/>
      <w:r w:rsidRPr="00F76AC5">
        <w:rPr>
          <w:rFonts w:asciiTheme="minorHAnsi" w:hAnsiTheme="minorHAnsi" w:cstheme="minorHAnsi"/>
          <w:sz w:val="22"/>
          <w:szCs w:val="22"/>
          <w:lang w:val="en-US" w:eastAsia="el-GR"/>
        </w:rPr>
        <w:t>, 2014; Hudson, 2016).</w:t>
      </w:r>
    </w:p>
    <w:p w14:paraId="482B122C" w14:textId="77777777" w:rsidR="00F76AC5" w:rsidRPr="00F76AC5" w:rsidRDefault="00F76AC5" w:rsidP="00F76AC5">
      <w:pPr>
        <w:suppressAutoHyphens w:val="0"/>
        <w:ind w:firstLine="284"/>
        <w:jc w:val="both"/>
        <w:rPr>
          <w:rFonts w:asciiTheme="minorHAnsi" w:hAnsiTheme="minorHAnsi" w:cstheme="minorHAnsi"/>
          <w:sz w:val="22"/>
          <w:szCs w:val="22"/>
          <w:lang w:val="en-US" w:eastAsia="el-GR"/>
        </w:rPr>
      </w:pPr>
      <w:r w:rsidRPr="00F76AC5">
        <w:rPr>
          <w:rFonts w:asciiTheme="minorHAnsi" w:hAnsiTheme="minorHAnsi" w:cstheme="minorHAnsi"/>
          <w:sz w:val="22"/>
          <w:szCs w:val="22"/>
          <w:lang w:val="en-US" w:eastAsia="el-GR"/>
        </w:rPr>
        <w:t>However, research has also identified structural and organizational limitations that constrain the effectiveness of mentoring when implemented as a standalone model in initial teacher education, including role ambiguity, uneven mentor preparation, time constraints, and tensions between support and assessment, which may undermine trust and learning within mentoring relationships (Clarke et al., 2014; Hobson et al., 2009). As a result, recent studies increasingly advocate for hybrid or integrative models in which supervision provides the organizational and pedagogical structure, while mentoring elements enrich the process by fostering supportive relationships and psychological safety.</w:t>
      </w:r>
    </w:p>
    <w:p w14:paraId="37650544" w14:textId="77777777" w:rsidR="00F76AC5" w:rsidRPr="00F76AC5" w:rsidRDefault="00F76AC5" w:rsidP="00F76AC5">
      <w:pPr>
        <w:suppressAutoHyphens w:val="0"/>
        <w:spacing w:before="240"/>
        <w:ind w:firstLine="284"/>
        <w:outlineLvl w:val="2"/>
        <w:rPr>
          <w:rFonts w:asciiTheme="minorHAnsi" w:hAnsiTheme="minorHAnsi" w:cstheme="minorHAnsi"/>
          <w:bCs/>
          <w:i/>
          <w:sz w:val="22"/>
          <w:szCs w:val="22"/>
          <w:lang w:val="en-US" w:eastAsia="el-GR"/>
        </w:rPr>
      </w:pPr>
      <w:r w:rsidRPr="00F76AC5">
        <w:rPr>
          <w:rFonts w:asciiTheme="minorHAnsi" w:hAnsiTheme="minorHAnsi" w:cstheme="minorHAnsi"/>
          <w:bCs/>
          <w:i/>
          <w:sz w:val="22"/>
          <w:szCs w:val="22"/>
          <w:lang w:val="en-US" w:eastAsia="el-GR"/>
        </w:rPr>
        <w:t>The Greek Context of Practicum Supervision in Early Childhood Education</w:t>
      </w:r>
    </w:p>
    <w:p w14:paraId="3987CF08" w14:textId="77777777" w:rsidR="00F76AC5" w:rsidRPr="00F76AC5" w:rsidRDefault="00F76AC5" w:rsidP="00F76AC5">
      <w:pPr>
        <w:suppressAutoHyphens w:val="0"/>
        <w:ind w:firstLine="284"/>
        <w:jc w:val="both"/>
        <w:rPr>
          <w:rFonts w:asciiTheme="minorHAnsi" w:hAnsiTheme="minorHAnsi" w:cstheme="minorHAnsi"/>
          <w:sz w:val="22"/>
          <w:szCs w:val="22"/>
          <w:lang w:val="en-US" w:eastAsia="el-GR"/>
        </w:rPr>
      </w:pPr>
      <w:r w:rsidRPr="00F76AC5">
        <w:rPr>
          <w:rFonts w:asciiTheme="minorHAnsi" w:hAnsiTheme="minorHAnsi" w:cstheme="minorHAnsi"/>
          <w:sz w:val="22"/>
          <w:szCs w:val="22"/>
          <w:lang w:val="en-US" w:eastAsia="el-GR"/>
        </w:rPr>
        <w:t>In the Greek context, the practicum in Early Childhood Education departments is recognized as a critical component of initial teacher education and a key mechanism for linking theoretical knowledge with educational practice. Greek research highlights the importance of systematic supervision and pedagogical support in fostering reflective practice, professional learning, and the gradual development of professional identity among pre-service teachers (</w:t>
      </w:r>
      <w:proofErr w:type="spellStart"/>
      <w:r w:rsidRPr="00F76AC5">
        <w:rPr>
          <w:rFonts w:asciiTheme="minorHAnsi" w:hAnsiTheme="minorHAnsi" w:cstheme="minorHAnsi"/>
          <w:sz w:val="22"/>
          <w:szCs w:val="22"/>
          <w:lang w:val="en-US" w:eastAsia="el-GR"/>
        </w:rPr>
        <w:t>Avgitidou</w:t>
      </w:r>
      <w:proofErr w:type="spellEnd"/>
      <w:r w:rsidRPr="00F76AC5">
        <w:rPr>
          <w:rFonts w:asciiTheme="minorHAnsi" w:hAnsiTheme="minorHAnsi" w:cstheme="minorHAnsi"/>
          <w:sz w:val="22"/>
          <w:szCs w:val="22"/>
          <w:lang w:val="en-US" w:eastAsia="el-GR"/>
        </w:rPr>
        <w:t xml:space="preserve">, 2014; </w:t>
      </w:r>
      <w:proofErr w:type="spellStart"/>
      <w:r w:rsidRPr="00F76AC5">
        <w:rPr>
          <w:rFonts w:asciiTheme="minorHAnsi" w:hAnsiTheme="minorHAnsi" w:cstheme="minorHAnsi"/>
          <w:sz w:val="22"/>
          <w:szCs w:val="22"/>
          <w:lang w:val="en-US" w:eastAsia="el-GR"/>
        </w:rPr>
        <w:t>Avgitidou</w:t>
      </w:r>
      <w:proofErr w:type="spellEnd"/>
      <w:r w:rsidRPr="00F76AC5">
        <w:rPr>
          <w:rFonts w:asciiTheme="minorHAnsi" w:hAnsiTheme="minorHAnsi" w:cstheme="minorHAnsi"/>
          <w:sz w:val="22"/>
          <w:szCs w:val="22"/>
          <w:lang w:val="en-US" w:eastAsia="el-GR"/>
        </w:rPr>
        <w:t xml:space="preserve"> &amp; </w:t>
      </w:r>
      <w:proofErr w:type="spellStart"/>
      <w:r w:rsidRPr="00F76AC5">
        <w:rPr>
          <w:rFonts w:asciiTheme="minorHAnsi" w:hAnsiTheme="minorHAnsi" w:cstheme="minorHAnsi"/>
          <w:sz w:val="22"/>
          <w:szCs w:val="22"/>
          <w:lang w:val="en-US" w:eastAsia="el-GR"/>
        </w:rPr>
        <w:t>Gourgiótou</w:t>
      </w:r>
      <w:proofErr w:type="spellEnd"/>
      <w:r w:rsidRPr="00F76AC5">
        <w:rPr>
          <w:rFonts w:asciiTheme="minorHAnsi" w:hAnsiTheme="minorHAnsi" w:cstheme="minorHAnsi"/>
          <w:sz w:val="22"/>
          <w:szCs w:val="22"/>
          <w:lang w:val="en-US" w:eastAsia="el-GR"/>
        </w:rPr>
        <w:t xml:space="preserve">, 2016; </w:t>
      </w:r>
      <w:proofErr w:type="spellStart"/>
      <w:r w:rsidRPr="00F76AC5">
        <w:rPr>
          <w:rFonts w:asciiTheme="minorHAnsi" w:hAnsiTheme="minorHAnsi" w:cstheme="minorHAnsi"/>
          <w:sz w:val="22"/>
          <w:szCs w:val="22"/>
          <w:lang w:val="en-US" w:eastAsia="el-GR"/>
        </w:rPr>
        <w:t>Chrysafidis</w:t>
      </w:r>
      <w:proofErr w:type="spellEnd"/>
      <w:r w:rsidRPr="00F76AC5">
        <w:rPr>
          <w:rFonts w:asciiTheme="minorHAnsi" w:hAnsiTheme="minorHAnsi" w:cstheme="minorHAnsi"/>
          <w:sz w:val="22"/>
          <w:szCs w:val="22"/>
          <w:lang w:val="en-US" w:eastAsia="el-GR"/>
        </w:rPr>
        <w:t>, 2013).</w:t>
      </w:r>
    </w:p>
    <w:p w14:paraId="2A1E2AC4" w14:textId="3E66C22E" w:rsidR="00F76AC5" w:rsidRPr="00F76AC5" w:rsidRDefault="00F76AC5" w:rsidP="00F76AC5">
      <w:pPr>
        <w:suppressAutoHyphens w:val="0"/>
        <w:ind w:firstLine="284"/>
        <w:jc w:val="both"/>
        <w:rPr>
          <w:rFonts w:asciiTheme="minorHAnsi" w:eastAsiaTheme="minorHAnsi" w:hAnsiTheme="minorHAnsi" w:cstheme="minorHAnsi"/>
          <w:sz w:val="22"/>
          <w:szCs w:val="22"/>
          <w:lang w:val="en-US" w:eastAsia="en-US"/>
        </w:rPr>
      </w:pPr>
      <w:r w:rsidRPr="00F76AC5">
        <w:rPr>
          <w:rFonts w:asciiTheme="minorHAnsi" w:hAnsiTheme="minorHAnsi" w:cstheme="minorHAnsi"/>
          <w:sz w:val="22"/>
          <w:szCs w:val="22"/>
          <w:lang w:val="en-US" w:eastAsia="el-GR"/>
        </w:rPr>
        <w:t xml:space="preserve">Furthermore, the work of the Greek Network of Practicum Programs in Early Childhood Education Departments (To </w:t>
      </w:r>
      <w:proofErr w:type="spellStart"/>
      <w:r w:rsidRPr="00F76AC5">
        <w:rPr>
          <w:rFonts w:asciiTheme="minorHAnsi" w:hAnsiTheme="minorHAnsi" w:cstheme="minorHAnsi"/>
          <w:sz w:val="22"/>
          <w:szCs w:val="22"/>
          <w:lang w:val="en-US" w:eastAsia="el-GR"/>
        </w:rPr>
        <w:t>Diktyo</w:t>
      </w:r>
      <w:proofErr w:type="spellEnd"/>
      <w:r w:rsidRPr="00F76AC5">
        <w:rPr>
          <w:rFonts w:asciiTheme="minorHAnsi" w:hAnsiTheme="minorHAnsi" w:cstheme="minorHAnsi"/>
          <w:sz w:val="22"/>
          <w:szCs w:val="22"/>
          <w:lang w:val="en-US" w:eastAsia="el-GR"/>
        </w:rPr>
        <w:t xml:space="preserve">) has played a significant role in promoting collaborative and reflective supervision models and in </w:t>
      </w:r>
      <w:proofErr w:type="spellStart"/>
      <w:r w:rsidRPr="00F76AC5">
        <w:rPr>
          <w:rFonts w:asciiTheme="minorHAnsi" w:hAnsiTheme="minorHAnsi" w:cstheme="minorHAnsi"/>
          <w:sz w:val="22"/>
          <w:szCs w:val="22"/>
          <w:lang w:val="en-US" w:eastAsia="el-GR"/>
        </w:rPr>
        <w:t>emphasising</w:t>
      </w:r>
      <w:proofErr w:type="spellEnd"/>
      <w:r w:rsidRPr="00F76AC5">
        <w:rPr>
          <w:rFonts w:asciiTheme="minorHAnsi" w:hAnsiTheme="minorHAnsi" w:cstheme="minorHAnsi"/>
          <w:sz w:val="22"/>
          <w:szCs w:val="22"/>
          <w:lang w:val="en-US" w:eastAsia="el-GR"/>
        </w:rPr>
        <w:t xml:space="preserve"> the importance of student teachers’ active participation and voice in the evaluation and improvement of practicum practices (</w:t>
      </w:r>
      <w:proofErr w:type="spellStart"/>
      <w:r w:rsidRPr="00F76AC5">
        <w:rPr>
          <w:rFonts w:asciiTheme="minorHAnsi" w:hAnsiTheme="minorHAnsi" w:cstheme="minorHAnsi"/>
          <w:sz w:val="22"/>
          <w:szCs w:val="22"/>
          <w:lang w:val="en-US" w:eastAsia="el-GR"/>
        </w:rPr>
        <w:t>Androusou</w:t>
      </w:r>
      <w:proofErr w:type="spellEnd"/>
      <w:r w:rsidRPr="00F76AC5">
        <w:rPr>
          <w:rFonts w:asciiTheme="minorHAnsi" w:hAnsiTheme="minorHAnsi" w:cstheme="minorHAnsi"/>
          <w:sz w:val="22"/>
          <w:szCs w:val="22"/>
          <w:lang w:val="en-US" w:eastAsia="el-GR"/>
        </w:rPr>
        <w:t xml:space="preserve"> &amp; </w:t>
      </w:r>
      <w:proofErr w:type="spellStart"/>
      <w:r w:rsidRPr="00F76AC5">
        <w:rPr>
          <w:rFonts w:asciiTheme="minorHAnsi" w:hAnsiTheme="minorHAnsi" w:cstheme="minorHAnsi"/>
          <w:sz w:val="22"/>
          <w:szCs w:val="22"/>
          <w:lang w:val="en-US" w:eastAsia="el-GR"/>
        </w:rPr>
        <w:t>Tsafos</w:t>
      </w:r>
      <w:proofErr w:type="spellEnd"/>
      <w:r w:rsidRPr="00F76AC5">
        <w:rPr>
          <w:rFonts w:asciiTheme="minorHAnsi" w:hAnsiTheme="minorHAnsi" w:cstheme="minorHAnsi"/>
          <w:sz w:val="22"/>
          <w:szCs w:val="22"/>
          <w:lang w:val="en-US" w:eastAsia="el-GR"/>
        </w:rPr>
        <w:t xml:space="preserve">, 2013; </w:t>
      </w:r>
      <w:proofErr w:type="spellStart"/>
      <w:r w:rsidR="00082C48" w:rsidRPr="00F76AC5">
        <w:rPr>
          <w:rFonts w:asciiTheme="minorHAnsi" w:hAnsiTheme="minorHAnsi" w:cstheme="minorHAnsi"/>
          <w:sz w:val="22"/>
          <w:szCs w:val="22"/>
          <w:lang w:val="en-US" w:eastAsia="el-GR"/>
        </w:rPr>
        <w:t>Gourgiótou</w:t>
      </w:r>
      <w:proofErr w:type="spellEnd"/>
      <w:r w:rsidR="00082C48" w:rsidRPr="00F76AC5">
        <w:rPr>
          <w:rFonts w:asciiTheme="minorHAnsi" w:hAnsiTheme="minorHAnsi" w:cstheme="minorHAnsi"/>
          <w:sz w:val="22"/>
          <w:szCs w:val="22"/>
          <w:lang w:val="en-US" w:eastAsia="el-GR"/>
        </w:rPr>
        <w:t xml:space="preserve"> et al., 2020</w:t>
      </w:r>
      <w:r w:rsidR="00082C48">
        <w:rPr>
          <w:rFonts w:asciiTheme="minorHAnsi" w:hAnsiTheme="minorHAnsi" w:cstheme="minorHAnsi"/>
          <w:sz w:val="22"/>
          <w:szCs w:val="22"/>
          <w:lang w:val="en-US" w:eastAsia="el-GR"/>
        </w:rPr>
        <w:t xml:space="preserve">; </w:t>
      </w:r>
      <w:proofErr w:type="spellStart"/>
      <w:r w:rsidR="00082C48">
        <w:rPr>
          <w:rFonts w:asciiTheme="minorHAnsi" w:hAnsiTheme="minorHAnsi" w:cstheme="minorHAnsi"/>
          <w:sz w:val="22"/>
          <w:szCs w:val="22"/>
          <w:lang w:val="en-US" w:eastAsia="el-GR"/>
        </w:rPr>
        <w:t>Sfyroera</w:t>
      </w:r>
      <w:proofErr w:type="spellEnd"/>
      <w:r w:rsidR="00082C48">
        <w:rPr>
          <w:rFonts w:asciiTheme="minorHAnsi" w:hAnsiTheme="minorHAnsi" w:cstheme="minorHAnsi"/>
          <w:sz w:val="22"/>
          <w:szCs w:val="22"/>
          <w:lang w:val="en-US" w:eastAsia="el-GR"/>
        </w:rPr>
        <w:t xml:space="preserve"> et al., 2020</w:t>
      </w:r>
      <w:r w:rsidRPr="00F76AC5">
        <w:rPr>
          <w:rFonts w:asciiTheme="minorHAnsi" w:hAnsiTheme="minorHAnsi" w:cstheme="minorHAnsi"/>
          <w:sz w:val="22"/>
          <w:szCs w:val="22"/>
          <w:lang w:val="en-US" w:eastAsia="el-GR"/>
        </w:rPr>
        <w:t xml:space="preserve">). </w:t>
      </w:r>
      <w:r w:rsidRPr="00F76AC5">
        <w:rPr>
          <w:rFonts w:asciiTheme="minorHAnsi" w:eastAsiaTheme="minorHAnsi" w:hAnsiTheme="minorHAnsi" w:cstheme="minorHAnsi"/>
          <w:sz w:val="22"/>
          <w:szCs w:val="22"/>
          <w:lang w:val="en-US" w:eastAsia="en-US"/>
        </w:rPr>
        <w:t>Nevertheless, despite the extensive theoretical and research-based literature, systematic documentation and analysis of pre-service teachers’ own perceptions and expectations regarding the role, practices, and effectiveness of supervision remain limited, particularly in the field of early childhood education. Greek research has tended to focus either on specific dimensions of support, such as the mentoring relationship, or on more general student attitudes towards the practicum, rather than on supervision as a comprehensive pedagogical process (</w:t>
      </w:r>
      <w:proofErr w:type="spellStart"/>
      <w:r w:rsidR="00082C48" w:rsidRPr="00F76AC5">
        <w:rPr>
          <w:rFonts w:asciiTheme="minorHAnsi" w:eastAsiaTheme="minorHAnsi" w:hAnsiTheme="minorHAnsi" w:cstheme="minorHAnsi"/>
          <w:sz w:val="22"/>
          <w:szCs w:val="22"/>
          <w:lang w:val="en-US" w:eastAsia="en-US"/>
        </w:rPr>
        <w:t>Kyridis</w:t>
      </w:r>
      <w:proofErr w:type="spellEnd"/>
      <w:r w:rsidR="00082C48" w:rsidRPr="00F76AC5">
        <w:rPr>
          <w:rFonts w:asciiTheme="minorHAnsi" w:eastAsiaTheme="minorHAnsi" w:hAnsiTheme="minorHAnsi" w:cstheme="minorHAnsi"/>
          <w:sz w:val="22"/>
          <w:szCs w:val="22"/>
          <w:lang w:val="en-US" w:eastAsia="en-US"/>
        </w:rPr>
        <w:t>, 2023</w:t>
      </w:r>
      <w:r w:rsidR="00082C48">
        <w:rPr>
          <w:rFonts w:asciiTheme="minorHAnsi" w:eastAsiaTheme="minorHAnsi" w:hAnsiTheme="minorHAnsi" w:cstheme="minorHAnsi"/>
          <w:sz w:val="22"/>
          <w:szCs w:val="22"/>
          <w:lang w:val="en-US" w:eastAsia="en-US"/>
        </w:rPr>
        <w:t xml:space="preserve">; </w:t>
      </w:r>
      <w:proofErr w:type="spellStart"/>
      <w:r w:rsidR="00082C48">
        <w:rPr>
          <w:rFonts w:asciiTheme="minorHAnsi" w:eastAsiaTheme="minorHAnsi" w:hAnsiTheme="minorHAnsi" w:cstheme="minorHAnsi"/>
          <w:sz w:val="22"/>
          <w:szCs w:val="22"/>
          <w:lang w:val="en-US" w:eastAsia="en-US"/>
        </w:rPr>
        <w:t>Papaioannou</w:t>
      </w:r>
      <w:proofErr w:type="spellEnd"/>
      <w:r w:rsidR="00082C48">
        <w:rPr>
          <w:rFonts w:asciiTheme="minorHAnsi" w:eastAsiaTheme="minorHAnsi" w:hAnsiTheme="minorHAnsi" w:cstheme="minorHAnsi"/>
          <w:sz w:val="22"/>
          <w:szCs w:val="22"/>
          <w:lang w:val="en-US" w:eastAsia="en-US"/>
        </w:rPr>
        <w:t>, 2025</w:t>
      </w:r>
      <w:r w:rsidRPr="00F76AC5">
        <w:rPr>
          <w:rFonts w:asciiTheme="minorHAnsi" w:eastAsiaTheme="minorHAnsi" w:hAnsiTheme="minorHAnsi" w:cstheme="minorHAnsi"/>
          <w:sz w:val="22"/>
          <w:szCs w:val="22"/>
          <w:lang w:val="en-US" w:eastAsia="en-US"/>
        </w:rPr>
        <w:t>).</w:t>
      </w:r>
    </w:p>
    <w:p w14:paraId="625B7845" w14:textId="77777777" w:rsidR="00F76AC5" w:rsidRPr="00F76AC5" w:rsidRDefault="00F76AC5" w:rsidP="00F76AC5">
      <w:pPr>
        <w:suppressAutoHyphens w:val="0"/>
        <w:ind w:firstLine="284"/>
        <w:jc w:val="both"/>
        <w:rPr>
          <w:rFonts w:asciiTheme="minorHAnsi" w:hAnsiTheme="minorHAnsi" w:cstheme="minorHAnsi"/>
          <w:sz w:val="22"/>
          <w:szCs w:val="22"/>
          <w:lang w:val="en-US" w:eastAsia="el-GR"/>
        </w:rPr>
      </w:pPr>
      <w:r w:rsidRPr="00F76AC5">
        <w:rPr>
          <w:rFonts w:asciiTheme="minorHAnsi" w:hAnsiTheme="minorHAnsi" w:cstheme="minorHAnsi"/>
          <w:sz w:val="22"/>
          <w:szCs w:val="22"/>
          <w:lang w:val="en-US" w:eastAsia="el-GR"/>
        </w:rPr>
        <w:t>On the basis of this theoretical framework, the present study adopts a research design that integrates quantitative and qualitative data collected through a questionnaire, in order to capture both patterns and trends in pre-service teachers’ perceptions and expectations, as well as the meanings they attribute to their supervision experiences and to their proposals for improvement. The following section outlines the data collection procedure, the sample, the research instrument, and the analytical methods employed.</w:t>
      </w:r>
    </w:p>
    <w:p w14:paraId="6A21CB73" w14:textId="77777777" w:rsidR="00F76AC5" w:rsidRPr="009557D8" w:rsidRDefault="00F76AC5" w:rsidP="009557D8">
      <w:pPr>
        <w:spacing w:before="240"/>
        <w:ind w:firstLine="284"/>
        <w:outlineLvl w:val="0"/>
        <w:rPr>
          <w:rFonts w:ascii="Calibri" w:hAnsi="Calibri" w:cs="Calibri"/>
          <w:b/>
          <w:bCs/>
          <w:sz w:val="22"/>
          <w:szCs w:val="22"/>
          <w:lang w:val="en-US"/>
        </w:rPr>
      </w:pPr>
      <w:r w:rsidRPr="009557D8">
        <w:rPr>
          <w:rFonts w:ascii="Calibri" w:hAnsi="Calibri" w:cs="Calibri"/>
          <w:b/>
          <w:bCs/>
          <w:sz w:val="22"/>
          <w:szCs w:val="22"/>
          <w:lang w:val="en-US"/>
        </w:rPr>
        <w:t>Methodology</w:t>
      </w:r>
    </w:p>
    <w:p w14:paraId="2D86F98F" w14:textId="77777777" w:rsidR="00F76AC5" w:rsidRPr="00242F27" w:rsidRDefault="00F76AC5" w:rsidP="005E5179">
      <w:pPr>
        <w:suppressAutoHyphens w:val="0"/>
        <w:spacing w:before="240"/>
        <w:ind w:firstLine="284"/>
        <w:outlineLvl w:val="2"/>
        <w:rPr>
          <w:rFonts w:ascii="Calibri" w:hAnsi="Calibri" w:cs="Calibri"/>
          <w:i/>
          <w:sz w:val="22"/>
          <w:szCs w:val="22"/>
          <w:lang w:val="en-US"/>
        </w:rPr>
      </w:pPr>
      <w:r w:rsidRPr="00242F27">
        <w:rPr>
          <w:rFonts w:ascii="Calibri" w:hAnsi="Calibri" w:cs="Calibri"/>
          <w:i/>
          <w:sz w:val="22"/>
          <w:szCs w:val="22"/>
          <w:lang w:val="en-US"/>
        </w:rPr>
        <w:t>Research Design</w:t>
      </w:r>
    </w:p>
    <w:p w14:paraId="31098AD5" w14:textId="77777777" w:rsidR="005E5179" w:rsidRPr="00E53495" w:rsidRDefault="005E5179" w:rsidP="005E5179">
      <w:pPr>
        <w:ind w:firstLine="284"/>
        <w:jc w:val="both"/>
        <w:rPr>
          <w:rFonts w:asciiTheme="minorHAnsi" w:hAnsiTheme="minorHAnsi" w:cstheme="minorHAnsi"/>
          <w:sz w:val="22"/>
          <w:szCs w:val="22"/>
          <w:lang w:val="en-US" w:eastAsia="el-GR"/>
        </w:rPr>
      </w:pPr>
      <w:r w:rsidRPr="00E53495">
        <w:rPr>
          <w:rFonts w:asciiTheme="minorHAnsi" w:hAnsiTheme="minorHAnsi" w:cstheme="minorHAnsi"/>
          <w:sz w:val="22"/>
          <w:szCs w:val="22"/>
          <w:lang w:val="en-US" w:eastAsia="el-GR"/>
        </w:rPr>
        <w:t>The present study adopted a mixed-methods research design, combining quantitative and qualitative data in order to achieve a comprehensive understanding of pre-service teachers’ perceptions and experiences regarding practicum supervision. The choice of a mixed-methods approach was considered appropriate, as it allows for the identification of general trends and patterns through quantitative analysis, while also enabling an in-depth exploration of meanings and experiences through qualitative data (Creswell &amp; Plano Clark, 2017).</w:t>
      </w:r>
    </w:p>
    <w:p w14:paraId="561FD622" w14:textId="77777777" w:rsidR="005E5179" w:rsidRPr="00E53495" w:rsidRDefault="005E5179" w:rsidP="005E5179">
      <w:pPr>
        <w:ind w:firstLine="284"/>
        <w:jc w:val="both"/>
        <w:rPr>
          <w:rFonts w:asciiTheme="minorHAnsi" w:hAnsiTheme="minorHAnsi" w:cstheme="minorHAnsi"/>
          <w:sz w:val="22"/>
          <w:szCs w:val="22"/>
          <w:lang w:val="en-US" w:eastAsia="el-GR"/>
        </w:rPr>
      </w:pPr>
      <w:r w:rsidRPr="00E53495">
        <w:rPr>
          <w:rFonts w:asciiTheme="minorHAnsi" w:hAnsiTheme="minorHAnsi" w:cstheme="minorHAnsi"/>
          <w:sz w:val="22"/>
          <w:szCs w:val="22"/>
          <w:lang w:val="en-US" w:eastAsia="el-GR"/>
        </w:rPr>
        <w:t>The research design was descriptive and exploratory in nature, as it sought to document pre-service teachers’ perceptions, expectations, and proposals without implementing any experimental intervention or controlling variables.</w:t>
      </w:r>
    </w:p>
    <w:p w14:paraId="1E66BE81" w14:textId="26BE4ED3" w:rsidR="005E5179" w:rsidRPr="005E5179" w:rsidRDefault="005055F3" w:rsidP="005E5179">
      <w:pPr>
        <w:suppressAutoHyphens w:val="0"/>
        <w:spacing w:before="240"/>
        <w:ind w:firstLine="284"/>
        <w:outlineLvl w:val="2"/>
        <w:rPr>
          <w:rFonts w:asciiTheme="minorHAnsi" w:hAnsiTheme="minorHAnsi" w:cstheme="minorHAnsi"/>
          <w:bCs/>
          <w:i/>
          <w:sz w:val="22"/>
          <w:szCs w:val="22"/>
          <w:lang w:val="en-US" w:eastAsia="el-GR"/>
        </w:rPr>
      </w:pPr>
      <w:r>
        <w:rPr>
          <w:rFonts w:asciiTheme="minorHAnsi" w:hAnsiTheme="minorHAnsi" w:cstheme="minorHAnsi"/>
          <w:bCs/>
          <w:i/>
          <w:sz w:val="22"/>
          <w:szCs w:val="22"/>
          <w:lang w:val="en-US" w:eastAsia="el-GR"/>
        </w:rPr>
        <w:t>Participants</w:t>
      </w:r>
    </w:p>
    <w:p w14:paraId="66A720C5" w14:textId="79180568" w:rsidR="005E5179" w:rsidRPr="00E53495" w:rsidRDefault="005E5179" w:rsidP="005E5179">
      <w:pPr>
        <w:ind w:firstLine="284"/>
        <w:jc w:val="both"/>
        <w:rPr>
          <w:rFonts w:asciiTheme="minorHAnsi" w:hAnsiTheme="minorHAnsi" w:cstheme="minorHAnsi"/>
          <w:sz w:val="22"/>
          <w:szCs w:val="22"/>
          <w:lang w:val="en-US" w:eastAsia="el-GR"/>
        </w:rPr>
      </w:pPr>
      <w:r w:rsidRPr="00E53495">
        <w:rPr>
          <w:rFonts w:asciiTheme="minorHAnsi" w:hAnsiTheme="minorHAnsi" w:cstheme="minorHAnsi"/>
          <w:sz w:val="22"/>
          <w:szCs w:val="22"/>
          <w:lang w:val="en-US" w:eastAsia="el-GR"/>
        </w:rPr>
        <w:lastRenderedPageBreak/>
        <w:t xml:space="preserve">The sample consisted of </w:t>
      </w:r>
      <w:r w:rsidR="003262E0">
        <w:rPr>
          <w:rFonts w:asciiTheme="minorHAnsi" w:hAnsiTheme="minorHAnsi" w:cstheme="minorHAnsi"/>
          <w:sz w:val="22"/>
          <w:szCs w:val="22"/>
          <w:lang w:val="en-US" w:eastAsia="el-GR"/>
        </w:rPr>
        <w:t>N=</w:t>
      </w:r>
      <w:r w:rsidRPr="00E53495">
        <w:rPr>
          <w:rFonts w:asciiTheme="minorHAnsi" w:hAnsiTheme="minorHAnsi" w:cstheme="minorHAnsi"/>
          <w:sz w:val="22"/>
          <w:szCs w:val="22"/>
          <w:lang w:val="en-US" w:eastAsia="el-GR"/>
        </w:rPr>
        <w:t xml:space="preserve">221 pre-service teachers </w:t>
      </w:r>
      <w:r w:rsidR="003262E0">
        <w:rPr>
          <w:rFonts w:asciiTheme="minorHAnsi" w:hAnsiTheme="minorHAnsi" w:cstheme="minorHAnsi"/>
          <w:sz w:val="22"/>
          <w:szCs w:val="22"/>
          <w:lang w:val="en-US" w:eastAsia="el-GR"/>
        </w:rPr>
        <w:t xml:space="preserve">(N/n refers to the number of participants) </w:t>
      </w:r>
      <w:r w:rsidRPr="00E53495">
        <w:rPr>
          <w:rFonts w:asciiTheme="minorHAnsi" w:hAnsiTheme="minorHAnsi" w:cstheme="minorHAnsi"/>
          <w:sz w:val="22"/>
          <w:szCs w:val="22"/>
          <w:lang w:val="en-US" w:eastAsia="el-GR"/>
        </w:rPr>
        <w:t>enrolled in Early Childhood Education departments in Greece, representing all years of study.</w:t>
      </w:r>
    </w:p>
    <w:p w14:paraId="34A11177" w14:textId="05FDA738" w:rsidR="005E5179" w:rsidRPr="00E53495" w:rsidRDefault="005E5179" w:rsidP="005E5179">
      <w:pPr>
        <w:ind w:firstLine="284"/>
        <w:jc w:val="both"/>
        <w:rPr>
          <w:rFonts w:asciiTheme="minorHAnsi" w:hAnsiTheme="minorHAnsi" w:cstheme="minorHAnsi"/>
          <w:sz w:val="22"/>
          <w:szCs w:val="22"/>
          <w:lang w:val="en-US" w:eastAsia="el-GR"/>
        </w:rPr>
      </w:pPr>
      <w:r w:rsidRPr="00E53495">
        <w:rPr>
          <w:rFonts w:asciiTheme="minorHAnsi" w:hAnsiTheme="minorHAnsi" w:cstheme="minorHAnsi"/>
          <w:sz w:val="22"/>
          <w:szCs w:val="22"/>
          <w:lang w:val="en-US" w:eastAsia="el-GR"/>
        </w:rPr>
        <w:t xml:space="preserve">A non-probability convenience sampling strategy was employed, as access to participants was facilitated through academic structures associated with the practicum. This sampling approach is commonly considered appropriate for exploratory studies in educational research, where the primary aim is to capture the perspectives of specific reference populations rather than to achieve statistical </w:t>
      </w:r>
      <w:r w:rsidR="003262E0" w:rsidRPr="00E53495">
        <w:rPr>
          <w:rFonts w:asciiTheme="minorHAnsi" w:hAnsiTheme="minorHAnsi" w:cstheme="minorHAnsi"/>
          <w:sz w:val="22"/>
          <w:szCs w:val="22"/>
          <w:lang w:val="en-US" w:eastAsia="el-GR"/>
        </w:rPr>
        <w:t>generalization</w:t>
      </w:r>
      <w:r w:rsidRPr="00E53495">
        <w:rPr>
          <w:rFonts w:asciiTheme="minorHAnsi" w:hAnsiTheme="minorHAnsi" w:cstheme="minorHAnsi"/>
          <w:sz w:val="22"/>
          <w:szCs w:val="22"/>
          <w:lang w:val="en-US" w:eastAsia="el-GR"/>
        </w:rPr>
        <w:t>.</w:t>
      </w:r>
    </w:p>
    <w:p w14:paraId="2227CB4A" w14:textId="77777777" w:rsidR="005E5179" w:rsidRPr="00E53495" w:rsidRDefault="005E5179" w:rsidP="005E5179">
      <w:pPr>
        <w:ind w:firstLine="284"/>
        <w:jc w:val="both"/>
        <w:rPr>
          <w:rFonts w:asciiTheme="minorHAnsi" w:hAnsiTheme="minorHAnsi" w:cstheme="minorHAnsi"/>
          <w:sz w:val="22"/>
          <w:szCs w:val="22"/>
          <w:lang w:val="en-US" w:eastAsia="el-GR"/>
        </w:rPr>
      </w:pPr>
      <w:r w:rsidRPr="00E53495">
        <w:rPr>
          <w:rFonts w:asciiTheme="minorHAnsi" w:hAnsiTheme="minorHAnsi" w:cstheme="minorHAnsi"/>
          <w:sz w:val="22"/>
          <w:szCs w:val="22"/>
          <w:lang w:val="en-US" w:eastAsia="el-GR"/>
        </w:rPr>
        <w:t>Data were collected through an online questionnaire distributed to students on a voluntary basis. The electronic format of the research tool facilitated participation from students across different years of study and geographical regions and ensured the anonymous recording of responses.</w:t>
      </w:r>
    </w:p>
    <w:p w14:paraId="6BAE8D2D" w14:textId="77777777" w:rsidR="005E5179" w:rsidRPr="005E5179" w:rsidRDefault="005E5179" w:rsidP="005E5179">
      <w:pPr>
        <w:suppressAutoHyphens w:val="0"/>
        <w:spacing w:before="240"/>
        <w:ind w:firstLine="284"/>
        <w:outlineLvl w:val="2"/>
        <w:rPr>
          <w:rFonts w:asciiTheme="minorHAnsi" w:hAnsiTheme="minorHAnsi" w:cstheme="minorHAnsi"/>
          <w:bCs/>
          <w:i/>
          <w:sz w:val="22"/>
          <w:szCs w:val="22"/>
          <w:lang w:val="en-US" w:eastAsia="el-GR"/>
        </w:rPr>
      </w:pPr>
      <w:r w:rsidRPr="005E5179">
        <w:rPr>
          <w:rFonts w:asciiTheme="minorHAnsi" w:hAnsiTheme="minorHAnsi" w:cstheme="minorHAnsi"/>
          <w:bCs/>
          <w:i/>
          <w:sz w:val="22"/>
          <w:szCs w:val="22"/>
          <w:lang w:val="en-US" w:eastAsia="el-GR"/>
        </w:rPr>
        <w:t>Research tool</w:t>
      </w:r>
    </w:p>
    <w:p w14:paraId="226AF980" w14:textId="77777777" w:rsidR="005E5179" w:rsidRPr="00E53495" w:rsidRDefault="005E5179" w:rsidP="005E5179">
      <w:pPr>
        <w:ind w:firstLine="284"/>
        <w:jc w:val="both"/>
        <w:rPr>
          <w:rFonts w:asciiTheme="minorHAnsi" w:hAnsiTheme="minorHAnsi" w:cstheme="minorHAnsi"/>
          <w:sz w:val="22"/>
          <w:szCs w:val="22"/>
          <w:lang w:val="en-US" w:eastAsia="el-GR"/>
        </w:rPr>
      </w:pPr>
      <w:r w:rsidRPr="00E53495">
        <w:rPr>
          <w:rFonts w:asciiTheme="minorHAnsi" w:hAnsiTheme="minorHAnsi" w:cstheme="minorHAnsi"/>
          <w:sz w:val="22"/>
          <w:szCs w:val="22"/>
          <w:lang w:val="en-US" w:eastAsia="el-GR"/>
        </w:rPr>
        <w:t>Data were collected using a structured questionnaire comprising both closed-ended and open-ended questions. The questionnaire was designed around thematic axes directly aligned with the research questions of the study and informed by the theoretical framework of practicum supervision as articulated in the international literature.</w:t>
      </w:r>
    </w:p>
    <w:p w14:paraId="7CF26A9B" w14:textId="77777777" w:rsidR="005E5179" w:rsidRPr="00E53495" w:rsidRDefault="005E5179" w:rsidP="005E5179">
      <w:pPr>
        <w:ind w:firstLine="284"/>
        <w:jc w:val="both"/>
        <w:rPr>
          <w:rFonts w:asciiTheme="minorHAnsi" w:hAnsiTheme="minorHAnsi" w:cstheme="minorHAnsi"/>
          <w:sz w:val="22"/>
          <w:szCs w:val="22"/>
          <w:lang w:val="en-US" w:eastAsia="el-GR"/>
        </w:rPr>
      </w:pPr>
      <w:r w:rsidRPr="00E53495">
        <w:rPr>
          <w:rFonts w:asciiTheme="minorHAnsi" w:hAnsiTheme="minorHAnsi" w:cstheme="minorHAnsi"/>
          <w:sz w:val="22"/>
          <w:szCs w:val="22"/>
          <w:lang w:val="en-US" w:eastAsia="el-GR"/>
        </w:rPr>
        <w:t>The closed-ended questions included Likert-type items, multiple-choice questions, and ranking tasks, allowing for the quantitative measurement of attitudes and preferences. The open-ended questions aimed to elicit participants’ experiences, reflections, and proposals in their own words, thereby enhancing the depth and interpretive dimension of the study (Braun &amp; Clarke, 2006).</w:t>
      </w:r>
    </w:p>
    <w:p w14:paraId="7AF0A49B" w14:textId="77777777" w:rsidR="005E5179" w:rsidRPr="005E5179" w:rsidRDefault="005E5179" w:rsidP="009557D8">
      <w:pPr>
        <w:suppressAutoHyphens w:val="0"/>
        <w:spacing w:before="240"/>
        <w:ind w:firstLine="284"/>
        <w:outlineLvl w:val="2"/>
        <w:rPr>
          <w:rFonts w:asciiTheme="minorHAnsi" w:hAnsiTheme="minorHAnsi" w:cstheme="minorHAnsi"/>
          <w:bCs/>
          <w:i/>
          <w:sz w:val="22"/>
          <w:szCs w:val="22"/>
          <w:lang w:val="en-US" w:eastAsia="el-GR"/>
        </w:rPr>
      </w:pPr>
      <w:r w:rsidRPr="005E5179">
        <w:rPr>
          <w:rFonts w:asciiTheme="minorHAnsi" w:hAnsiTheme="minorHAnsi" w:cstheme="minorHAnsi"/>
          <w:bCs/>
          <w:i/>
          <w:sz w:val="22"/>
          <w:szCs w:val="22"/>
          <w:lang w:val="en-US" w:eastAsia="el-GR"/>
        </w:rPr>
        <w:t>Data Collection Procedure</w:t>
      </w:r>
    </w:p>
    <w:p w14:paraId="7CE7C883" w14:textId="77777777" w:rsidR="005E5179" w:rsidRPr="00E53495" w:rsidRDefault="005E5179" w:rsidP="005E5179">
      <w:pPr>
        <w:ind w:firstLine="284"/>
        <w:jc w:val="both"/>
        <w:rPr>
          <w:rFonts w:asciiTheme="minorHAnsi" w:hAnsiTheme="minorHAnsi" w:cstheme="minorHAnsi"/>
          <w:sz w:val="22"/>
          <w:szCs w:val="22"/>
          <w:lang w:val="en-US" w:eastAsia="el-GR"/>
        </w:rPr>
      </w:pPr>
      <w:r w:rsidRPr="00E53495">
        <w:rPr>
          <w:rFonts w:asciiTheme="minorHAnsi" w:hAnsiTheme="minorHAnsi" w:cstheme="minorHAnsi"/>
          <w:sz w:val="22"/>
          <w:szCs w:val="22"/>
          <w:lang w:val="en-US" w:eastAsia="el-GR"/>
        </w:rPr>
        <w:t>Data collection took place within a defined time period, during which participants were clearly informed about the purpose of the study and the voluntary nature of their participation. Completion of the questionnaire was considered to constitute informed consent.</w:t>
      </w:r>
    </w:p>
    <w:p w14:paraId="630453AE" w14:textId="77777777" w:rsidR="005E5179" w:rsidRPr="00E53495" w:rsidRDefault="005E5179" w:rsidP="005E5179">
      <w:pPr>
        <w:ind w:firstLine="284"/>
        <w:jc w:val="both"/>
        <w:rPr>
          <w:rFonts w:asciiTheme="minorHAnsi" w:hAnsiTheme="minorHAnsi" w:cstheme="minorHAnsi"/>
          <w:sz w:val="22"/>
          <w:szCs w:val="22"/>
          <w:lang w:val="en-US" w:eastAsia="el-GR"/>
        </w:rPr>
      </w:pPr>
      <w:r w:rsidRPr="00E53495">
        <w:rPr>
          <w:rFonts w:asciiTheme="minorHAnsi" w:hAnsiTheme="minorHAnsi" w:cstheme="minorHAnsi"/>
          <w:sz w:val="22"/>
          <w:szCs w:val="22"/>
          <w:lang w:val="en-US" w:eastAsia="el-GR"/>
        </w:rPr>
        <w:t>Participants’ anonymity and confidentiality were fully ensured, as no personal data that could lead to their identification were collected. All data were used exclusively for research purposes, in accordance with the fundamental principles of research ethics in the social sciences (Cohen et al., 2018).</w:t>
      </w:r>
    </w:p>
    <w:p w14:paraId="380B316C" w14:textId="77777777" w:rsidR="005E5179" w:rsidRPr="005E5179" w:rsidRDefault="005E5179" w:rsidP="005E5179">
      <w:pPr>
        <w:suppressAutoHyphens w:val="0"/>
        <w:spacing w:before="240"/>
        <w:ind w:firstLine="284"/>
        <w:outlineLvl w:val="2"/>
        <w:rPr>
          <w:rFonts w:asciiTheme="minorHAnsi" w:hAnsiTheme="minorHAnsi" w:cstheme="minorHAnsi"/>
          <w:bCs/>
          <w:i/>
          <w:sz w:val="22"/>
          <w:szCs w:val="22"/>
          <w:lang w:val="en-US" w:eastAsia="el-GR"/>
        </w:rPr>
      </w:pPr>
      <w:r w:rsidRPr="005E5179">
        <w:rPr>
          <w:rFonts w:asciiTheme="minorHAnsi" w:hAnsiTheme="minorHAnsi" w:cstheme="minorHAnsi"/>
          <w:bCs/>
          <w:i/>
          <w:sz w:val="22"/>
          <w:szCs w:val="22"/>
          <w:lang w:val="en-US" w:eastAsia="el-GR"/>
        </w:rPr>
        <w:t>Data Analysis</w:t>
      </w:r>
    </w:p>
    <w:p w14:paraId="2073D5B3" w14:textId="3B0152FF" w:rsidR="005E5179" w:rsidRPr="00E53495" w:rsidRDefault="005E5179" w:rsidP="005E5179">
      <w:pPr>
        <w:ind w:firstLine="284"/>
        <w:jc w:val="both"/>
        <w:rPr>
          <w:rFonts w:asciiTheme="minorHAnsi" w:hAnsiTheme="minorHAnsi" w:cstheme="minorHAnsi"/>
          <w:sz w:val="22"/>
          <w:szCs w:val="22"/>
          <w:lang w:val="en-US" w:eastAsia="el-GR"/>
        </w:rPr>
      </w:pPr>
      <w:r w:rsidRPr="00E53495">
        <w:rPr>
          <w:rFonts w:asciiTheme="minorHAnsi" w:hAnsiTheme="minorHAnsi" w:cstheme="minorHAnsi"/>
          <w:sz w:val="22"/>
          <w:szCs w:val="22"/>
          <w:lang w:val="en-US" w:eastAsia="el-GR"/>
        </w:rPr>
        <w:t xml:space="preserve">The dataset comprised both quantitative and qualitative data, which were </w:t>
      </w:r>
      <w:r w:rsidR="003262E0" w:rsidRPr="00E53495">
        <w:rPr>
          <w:rFonts w:asciiTheme="minorHAnsi" w:hAnsiTheme="minorHAnsi" w:cstheme="minorHAnsi"/>
          <w:sz w:val="22"/>
          <w:szCs w:val="22"/>
          <w:lang w:val="en-US" w:eastAsia="el-GR"/>
        </w:rPr>
        <w:t>analyzed</w:t>
      </w:r>
      <w:r w:rsidRPr="00E53495">
        <w:rPr>
          <w:rFonts w:asciiTheme="minorHAnsi" w:hAnsiTheme="minorHAnsi" w:cstheme="minorHAnsi"/>
          <w:sz w:val="22"/>
          <w:szCs w:val="22"/>
          <w:lang w:val="en-US" w:eastAsia="el-GR"/>
        </w:rPr>
        <w:t xml:space="preserve"> using corresponding methodological approaches.</w:t>
      </w:r>
    </w:p>
    <w:p w14:paraId="16DA0939" w14:textId="226E1E16" w:rsidR="005E5179" w:rsidRPr="00E53495" w:rsidRDefault="005E5179" w:rsidP="005E5179">
      <w:pPr>
        <w:ind w:firstLine="284"/>
        <w:jc w:val="both"/>
        <w:rPr>
          <w:rFonts w:asciiTheme="minorHAnsi" w:hAnsiTheme="minorHAnsi" w:cstheme="minorHAnsi"/>
          <w:sz w:val="22"/>
          <w:szCs w:val="22"/>
          <w:lang w:val="en-US" w:eastAsia="el-GR"/>
        </w:rPr>
      </w:pPr>
      <w:r w:rsidRPr="00E53495">
        <w:rPr>
          <w:rFonts w:asciiTheme="minorHAnsi" w:hAnsiTheme="minorHAnsi" w:cstheme="minorHAnsi"/>
          <w:sz w:val="22"/>
          <w:szCs w:val="22"/>
          <w:lang w:val="en-US" w:eastAsia="el-GR"/>
        </w:rPr>
        <w:t xml:space="preserve">Quantitative data were </w:t>
      </w:r>
      <w:r w:rsidR="003262E0" w:rsidRPr="00E53495">
        <w:rPr>
          <w:rFonts w:asciiTheme="minorHAnsi" w:hAnsiTheme="minorHAnsi" w:cstheme="minorHAnsi"/>
          <w:sz w:val="22"/>
          <w:szCs w:val="22"/>
          <w:lang w:val="en-US" w:eastAsia="el-GR"/>
        </w:rPr>
        <w:t>analyzed</w:t>
      </w:r>
      <w:r w:rsidRPr="00E53495">
        <w:rPr>
          <w:rFonts w:asciiTheme="minorHAnsi" w:hAnsiTheme="minorHAnsi" w:cstheme="minorHAnsi"/>
          <w:sz w:val="22"/>
          <w:szCs w:val="22"/>
          <w:lang w:val="en-US" w:eastAsia="el-GR"/>
        </w:rPr>
        <w:t xml:space="preserve"> using descriptive statistics in order to calculate frequencies, percentages, means, and standard deviations, thereby allowing the identification of general trends in participants’ responses in relation to the research questions.</w:t>
      </w:r>
    </w:p>
    <w:p w14:paraId="45A09757" w14:textId="44AD2492" w:rsidR="005E5179" w:rsidRPr="00E53495" w:rsidRDefault="005E5179" w:rsidP="005E5179">
      <w:pPr>
        <w:ind w:firstLine="284"/>
        <w:jc w:val="both"/>
        <w:rPr>
          <w:rFonts w:asciiTheme="minorHAnsi" w:hAnsiTheme="minorHAnsi" w:cstheme="minorHAnsi"/>
          <w:sz w:val="22"/>
          <w:szCs w:val="22"/>
          <w:lang w:val="en-US" w:eastAsia="el-GR"/>
        </w:rPr>
      </w:pPr>
      <w:r w:rsidRPr="00E53495">
        <w:rPr>
          <w:rFonts w:asciiTheme="minorHAnsi" w:hAnsiTheme="minorHAnsi" w:cstheme="minorHAnsi"/>
          <w:sz w:val="22"/>
          <w:szCs w:val="22"/>
          <w:lang w:val="en-US" w:eastAsia="el-GR"/>
        </w:rPr>
        <w:t xml:space="preserve">Qualitative data derived from the open-ended questions were </w:t>
      </w:r>
      <w:r w:rsidR="003262E0" w:rsidRPr="00E53495">
        <w:rPr>
          <w:rFonts w:asciiTheme="minorHAnsi" w:hAnsiTheme="minorHAnsi" w:cstheme="minorHAnsi"/>
          <w:sz w:val="22"/>
          <w:szCs w:val="22"/>
          <w:lang w:val="en-US" w:eastAsia="el-GR"/>
        </w:rPr>
        <w:t>analyzed</w:t>
      </w:r>
      <w:r w:rsidRPr="00E53495">
        <w:rPr>
          <w:rFonts w:asciiTheme="minorHAnsi" w:hAnsiTheme="minorHAnsi" w:cstheme="minorHAnsi"/>
          <w:sz w:val="22"/>
          <w:szCs w:val="22"/>
          <w:lang w:val="en-US" w:eastAsia="el-GR"/>
        </w:rPr>
        <w:t xml:space="preserve"> using thematic analysis. The analysis followed the six-phase framework proposed by Braun and Clarke (2006): </w:t>
      </w:r>
      <w:r w:rsidR="003262E0" w:rsidRPr="00E53495">
        <w:rPr>
          <w:rFonts w:asciiTheme="minorHAnsi" w:hAnsiTheme="minorHAnsi" w:cstheme="minorHAnsi"/>
          <w:sz w:val="22"/>
          <w:szCs w:val="22"/>
          <w:lang w:val="en-US" w:eastAsia="el-GR"/>
        </w:rPr>
        <w:t>familiarization</w:t>
      </w:r>
      <w:r w:rsidRPr="00E53495">
        <w:rPr>
          <w:rFonts w:asciiTheme="minorHAnsi" w:hAnsiTheme="minorHAnsi" w:cstheme="minorHAnsi"/>
          <w:sz w:val="22"/>
          <w:szCs w:val="22"/>
          <w:lang w:val="en-US" w:eastAsia="el-GR"/>
        </w:rPr>
        <w:t xml:space="preserve"> with the data, initial coding, searching for themes, reviewing themes, and defining and naming themes. Through this process, key thematic categories emerged, capturing how pre-service teachers </w:t>
      </w:r>
      <w:r w:rsidR="003262E0" w:rsidRPr="00E53495">
        <w:rPr>
          <w:rFonts w:asciiTheme="minorHAnsi" w:hAnsiTheme="minorHAnsi" w:cstheme="minorHAnsi"/>
          <w:sz w:val="22"/>
          <w:szCs w:val="22"/>
          <w:lang w:val="en-US" w:eastAsia="el-GR"/>
        </w:rPr>
        <w:t>conceptualize</w:t>
      </w:r>
      <w:r w:rsidRPr="00E53495">
        <w:rPr>
          <w:rFonts w:asciiTheme="minorHAnsi" w:hAnsiTheme="minorHAnsi" w:cstheme="minorHAnsi"/>
          <w:sz w:val="22"/>
          <w:szCs w:val="22"/>
          <w:lang w:val="en-US" w:eastAsia="el-GR"/>
        </w:rPr>
        <w:t xml:space="preserve"> practicum supervision and articulate proposals for its improvement.</w:t>
      </w:r>
    </w:p>
    <w:p w14:paraId="3CDAB0F5" w14:textId="77777777" w:rsidR="005E5179" w:rsidRPr="00E53495" w:rsidRDefault="005E5179" w:rsidP="005E5179">
      <w:pPr>
        <w:ind w:firstLine="284"/>
        <w:jc w:val="both"/>
        <w:rPr>
          <w:rFonts w:asciiTheme="minorHAnsi" w:hAnsiTheme="minorHAnsi" w:cstheme="minorHAnsi"/>
          <w:sz w:val="22"/>
          <w:szCs w:val="22"/>
          <w:lang w:val="en-US" w:eastAsia="el-GR"/>
        </w:rPr>
      </w:pPr>
      <w:r w:rsidRPr="00E53495">
        <w:rPr>
          <w:rFonts w:asciiTheme="minorHAnsi" w:hAnsiTheme="minorHAnsi" w:cstheme="minorHAnsi"/>
          <w:sz w:val="22"/>
          <w:szCs w:val="22"/>
          <w:lang w:val="en-US" w:eastAsia="el-GR"/>
        </w:rPr>
        <w:t>To enhance transparency and credibility in the qualitative analysis, findings were illustrated with representative verbatim excerpts, attributed using participant codes (e.g., P12, P37), ensuring that no identifying information could be linked to individual respondents.</w:t>
      </w:r>
    </w:p>
    <w:p w14:paraId="2CC3845E" w14:textId="77777777" w:rsidR="005E5179" w:rsidRPr="009557D8" w:rsidRDefault="005E5179" w:rsidP="009557D8">
      <w:pPr>
        <w:spacing w:before="240"/>
        <w:ind w:firstLine="284"/>
        <w:outlineLvl w:val="0"/>
        <w:rPr>
          <w:rFonts w:ascii="Calibri" w:hAnsi="Calibri" w:cs="Calibri"/>
          <w:b/>
          <w:bCs/>
          <w:sz w:val="22"/>
          <w:szCs w:val="22"/>
          <w:lang w:val="en-US"/>
        </w:rPr>
      </w:pPr>
      <w:r w:rsidRPr="009557D8">
        <w:rPr>
          <w:rFonts w:ascii="Calibri" w:hAnsi="Calibri" w:cs="Calibri"/>
          <w:b/>
          <w:bCs/>
          <w:sz w:val="22"/>
          <w:szCs w:val="22"/>
          <w:lang w:val="en-US"/>
        </w:rPr>
        <w:t>Results</w:t>
      </w:r>
    </w:p>
    <w:p w14:paraId="5C55F1B2" w14:textId="63B9CA0F" w:rsidR="00F105C6" w:rsidRPr="005E5179" w:rsidRDefault="005E5179" w:rsidP="005E5179">
      <w:pPr>
        <w:suppressAutoHyphens w:val="0"/>
        <w:spacing w:before="240"/>
        <w:ind w:firstLine="284"/>
        <w:outlineLvl w:val="2"/>
        <w:rPr>
          <w:rFonts w:asciiTheme="minorHAnsi" w:hAnsiTheme="minorHAnsi" w:cstheme="minorHAnsi"/>
          <w:bCs/>
          <w:i/>
          <w:sz w:val="22"/>
          <w:szCs w:val="22"/>
          <w:lang w:val="en-US" w:eastAsia="el-GR"/>
        </w:rPr>
      </w:pPr>
      <w:r w:rsidRPr="005E5179">
        <w:rPr>
          <w:rFonts w:asciiTheme="minorHAnsi" w:hAnsiTheme="minorHAnsi" w:cstheme="minorHAnsi"/>
          <w:bCs/>
          <w:i/>
          <w:sz w:val="22"/>
          <w:szCs w:val="22"/>
          <w:lang w:val="en-US" w:eastAsia="el-GR"/>
        </w:rPr>
        <w:lastRenderedPageBreak/>
        <w:t>Sample characteristics</w:t>
      </w:r>
    </w:p>
    <w:p w14:paraId="10B4B3E7" w14:textId="679BEC0F" w:rsidR="00B64510" w:rsidRPr="00B64510" w:rsidRDefault="00B64510" w:rsidP="00B64510">
      <w:pPr>
        <w:suppressAutoHyphens w:val="0"/>
        <w:ind w:firstLine="284"/>
        <w:jc w:val="both"/>
        <w:rPr>
          <w:rFonts w:asciiTheme="minorHAnsi" w:hAnsiTheme="minorHAnsi" w:cstheme="minorHAnsi"/>
          <w:sz w:val="22"/>
          <w:szCs w:val="22"/>
          <w:lang w:val="en-US" w:eastAsia="el-GR"/>
        </w:rPr>
      </w:pPr>
      <w:r w:rsidRPr="00B64510">
        <w:rPr>
          <w:rFonts w:asciiTheme="minorHAnsi" w:hAnsiTheme="minorHAnsi" w:cstheme="minorHAnsi"/>
          <w:sz w:val="22"/>
          <w:szCs w:val="22"/>
          <w:lang w:val="en-US" w:eastAsia="el-GR"/>
        </w:rPr>
        <w:t xml:space="preserve">A total of </w:t>
      </w:r>
      <w:r w:rsidRPr="00B64510">
        <w:rPr>
          <w:rFonts w:asciiTheme="minorHAnsi" w:eastAsiaTheme="majorEastAsia" w:hAnsiTheme="minorHAnsi" w:cstheme="minorHAnsi"/>
          <w:bCs/>
          <w:sz w:val="22"/>
          <w:szCs w:val="22"/>
          <w:lang w:val="en-US" w:eastAsia="el-GR"/>
        </w:rPr>
        <w:t>N = 221</w:t>
      </w:r>
      <w:r w:rsidRPr="00B64510">
        <w:rPr>
          <w:rFonts w:asciiTheme="minorHAnsi" w:hAnsiTheme="minorHAnsi" w:cstheme="minorHAnsi"/>
          <w:sz w:val="22"/>
          <w:szCs w:val="22"/>
          <w:lang w:val="en-US" w:eastAsia="el-GR"/>
        </w:rPr>
        <w:t xml:space="preserve"> responses were analyzed. The sample consisted predominantly of women (</w:t>
      </w:r>
      <w:r w:rsidRPr="003262E0">
        <w:rPr>
          <w:rFonts w:asciiTheme="minorHAnsi" w:eastAsiaTheme="majorEastAsia" w:hAnsiTheme="minorHAnsi" w:cstheme="minorHAnsi"/>
          <w:bCs/>
          <w:sz w:val="22"/>
          <w:szCs w:val="22"/>
          <w:lang w:val="en-US" w:eastAsia="el-GR"/>
        </w:rPr>
        <w:t>97.3%</w:t>
      </w:r>
      <w:r w:rsidRPr="003262E0">
        <w:rPr>
          <w:rFonts w:asciiTheme="minorHAnsi" w:hAnsiTheme="minorHAnsi" w:cstheme="minorHAnsi"/>
          <w:b/>
          <w:sz w:val="22"/>
          <w:szCs w:val="22"/>
          <w:lang w:val="en-US" w:eastAsia="el-GR"/>
        </w:rPr>
        <w:t>,</w:t>
      </w:r>
      <w:r w:rsidRPr="003262E0">
        <w:rPr>
          <w:rFonts w:asciiTheme="minorHAnsi" w:hAnsiTheme="minorHAnsi" w:cstheme="minorHAnsi"/>
          <w:sz w:val="22"/>
          <w:szCs w:val="22"/>
          <w:lang w:val="en-US" w:eastAsia="el-GR"/>
        </w:rPr>
        <w:t xml:space="preserve"> </w:t>
      </w:r>
      <w:r w:rsidRPr="003262E0">
        <w:rPr>
          <w:rFonts w:asciiTheme="minorHAnsi" w:eastAsiaTheme="majorEastAsia" w:hAnsiTheme="minorHAnsi" w:cstheme="minorHAnsi"/>
          <w:iCs/>
          <w:sz w:val="22"/>
          <w:szCs w:val="22"/>
          <w:lang w:val="en-US" w:eastAsia="el-GR"/>
        </w:rPr>
        <w:t>n</w:t>
      </w:r>
      <w:r w:rsidRPr="003262E0">
        <w:rPr>
          <w:rFonts w:asciiTheme="minorHAnsi" w:hAnsiTheme="minorHAnsi" w:cstheme="minorHAnsi"/>
          <w:sz w:val="22"/>
          <w:szCs w:val="22"/>
          <w:lang w:val="en-US" w:eastAsia="el-GR"/>
        </w:rPr>
        <w:t xml:space="preserve"> = 215</w:t>
      </w:r>
      <w:r w:rsidRPr="00B64510">
        <w:rPr>
          <w:rFonts w:asciiTheme="minorHAnsi" w:hAnsiTheme="minorHAnsi" w:cstheme="minorHAnsi"/>
          <w:sz w:val="22"/>
          <w:szCs w:val="22"/>
          <w:lang w:val="en-US" w:eastAsia="el-GR"/>
        </w:rPr>
        <w:t xml:space="preserve">), while men accounted for </w:t>
      </w:r>
      <w:r w:rsidRPr="00B64510">
        <w:rPr>
          <w:rFonts w:asciiTheme="minorHAnsi" w:eastAsiaTheme="majorEastAsia" w:hAnsiTheme="minorHAnsi" w:cstheme="minorHAnsi"/>
          <w:bCs/>
          <w:sz w:val="22"/>
          <w:szCs w:val="22"/>
          <w:lang w:val="en-US" w:eastAsia="el-GR"/>
        </w:rPr>
        <w:t>2.7%</w:t>
      </w:r>
      <w:r w:rsidRPr="00B64510">
        <w:rPr>
          <w:rFonts w:asciiTheme="minorHAnsi" w:hAnsiTheme="minorHAnsi" w:cstheme="minorHAnsi"/>
          <w:sz w:val="22"/>
          <w:szCs w:val="22"/>
          <w:lang w:val="en-US" w:eastAsia="el-GR"/>
        </w:rPr>
        <w:t xml:space="preserve"> </w:t>
      </w:r>
      <w:r w:rsidRPr="003262E0">
        <w:rPr>
          <w:rFonts w:asciiTheme="minorHAnsi" w:hAnsiTheme="minorHAnsi" w:cstheme="minorHAnsi"/>
          <w:sz w:val="22"/>
          <w:szCs w:val="22"/>
          <w:lang w:val="en-US" w:eastAsia="el-GR"/>
        </w:rPr>
        <w:t>(</w:t>
      </w:r>
      <w:r w:rsidRPr="003262E0">
        <w:rPr>
          <w:rFonts w:asciiTheme="minorHAnsi" w:eastAsiaTheme="majorEastAsia" w:hAnsiTheme="minorHAnsi" w:cstheme="minorHAnsi"/>
          <w:iCs/>
          <w:sz w:val="22"/>
          <w:szCs w:val="22"/>
          <w:lang w:val="en-US" w:eastAsia="el-GR"/>
        </w:rPr>
        <w:t>n</w:t>
      </w:r>
      <w:r w:rsidRPr="003262E0">
        <w:rPr>
          <w:rFonts w:asciiTheme="minorHAnsi" w:hAnsiTheme="minorHAnsi" w:cstheme="minorHAnsi"/>
          <w:sz w:val="22"/>
          <w:szCs w:val="22"/>
          <w:lang w:val="en-US" w:eastAsia="el-GR"/>
        </w:rPr>
        <w:t xml:space="preserve"> = 6).</w:t>
      </w:r>
      <w:r w:rsidRPr="00B64510">
        <w:rPr>
          <w:rFonts w:asciiTheme="minorHAnsi" w:hAnsiTheme="minorHAnsi" w:cstheme="minorHAnsi"/>
          <w:sz w:val="22"/>
          <w:szCs w:val="22"/>
          <w:lang w:val="en-US" w:eastAsia="el-GR"/>
        </w:rPr>
        <w:t xml:space="preserve"> Information on the semester of study was available for </w:t>
      </w:r>
      <w:r w:rsidRPr="00B64510">
        <w:rPr>
          <w:rFonts w:asciiTheme="minorHAnsi" w:eastAsiaTheme="majorEastAsia" w:hAnsiTheme="minorHAnsi" w:cstheme="minorHAnsi"/>
          <w:bCs/>
          <w:sz w:val="22"/>
          <w:szCs w:val="22"/>
          <w:lang w:val="en-US" w:eastAsia="el-GR"/>
        </w:rPr>
        <w:t xml:space="preserve">217 </w:t>
      </w:r>
      <w:r w:rsidRPr="00B64510">
        <w:rPr>
          <w:rFonts w:asciiTheme="minorHAnsi" w:hAnsiTheme="minorHAnsi" w:cstheme="minorHAnsi"/>
          <w:sz w:val="22"/>
          <w:szCs w:val="22"/>
          <w:lang w:val="en-US" w:eastAsia="el-GR"/>
        </w:rPr>
        <w:t xml:space="preserve">participants. The largest proportions of respondents were enrolled in the </w:t>
      </w:r>
      <w:r w:rsidRPr="00B64510">
        <w:rPr>
          <w:rFonts w:asciiTheme="minorHAnsi" w:eastAsiaTheme="majorEastAsia" w:hAnsiTheme="minorHAnsi" w:cstheme="minorHAnsi"/>
          <w:bCs/>
          <w:sz w:val="22"/>
          <w:szCs w:val="22"/>
          <w:lang w:val="en-US" w:eastAsia="el-GR"/>
        </w:rPr>
        <w:t>8th semester</w:t>
      </w:r>
      <w:r w:rsidRPr="00B64510">
        <w:rPr>
          <w:rFonts w:asciiTheme="minorHAnsi" w:hAnsiTheme="minorHAnsi" w:cstheme="minorHAnsi"/>
          <w:sz w:val="22"/>
          <w:szCs w:val="22"/>
          <w:lang w:val="en-US" w:eastAsia="el-GR"/>
        </w:rPr>
        <w:t xml:space="preserve"> </w:t>
      </w:r>
      <w:r w:rsidRPr="003262E0">
        <w:rPr>
          <w:rFonts w:asciiTheme="minorHAnsi" w:hAnsiTheme="minorHAnsi" w:cstheme="minorHAnsi"/>
          <w:sz w:val="22"/>
          <w:szCs w:val="22"/>
          <w:lang w:val="en-US" w:eastAsia="el-GR"/>
        </w:rPr>
        <w:t>(</w:t>
      </w:r>
      <w:r w:rsidRPr="003262E0">
        <w:rPr>
          <w:rFonts w:asciiTheme="minorHAnsi" w:eastAsiaTheme="majorEastAsia" w:hAnsiTheme="minorHAnsi" w:cstheme="minorHAnsi"/>
          <w:iCs/>
          <w:sz w:val="22"/>
          <w:szCs w:val="22"/>
          <w:lang w:val="en-US" w:eastAsia="el-GR"/>
        </w:rPr>
        <w:t>n</w:t>
      </w:r>
      <w:r w:rsidRPr="003262E0">
        <w:rPr>
          <w:rFonts w:asciiTheme="minorHAnsi" w:hAnsiTheme="minorHAnsi" w:cstheme="minorHAnsi"/>
          <w:sz w:val="22"/>
          <w:szCs w:val="22"/>
          <w:lang w:val="en-US" w:eastAsia="el-GR"/>
        </w:rPr>
        <w:t xml:space="preserve"> = 71</w:t>
      </w:r>
      <w:r w:rsidRPr="00B64510">
        <w:rPr>
          <w:rFonts w:asciiTheme="minorHAnsi" w:hAnsiTheme="minorHAnsi" w:cstheme="minorHAnsi"/>
          <w:sz w:val="22"/>
          <w:szCs w:val="22"/>
          <w:lang w:val="en-US" w:eastAsia="el-GR"/>
        </w:rPr>
        <w:t xml:space="preserve">) and the </w:t>
      </w:r>
      <w:r w:rsidRPr="00B64510">
        <w:rPr>
          <w:rFonts w:asciiTheme="minorHAnsi" w:eastAsiaTheme="majorEastAsia" w:hAnsiTheme="minorHAnsi" w:cstheme="minorHAnsi"/>
          <w:bCs/>
          <w:sz w:val="22"/>
          <w:szCs w:val="22"/>
          <w:lang w:val="en-US" w:eastAsia="el-GR"/>
        </w:rPr>
        <w:t xml:space="preserve">2nd </w:t>
      </w:r>
      <w:r>
        <w:rPr>
          <w:rFonts w:asciiTheme="minorHAnsi" w:eastAsiaTheme="majorEastAsia" w:hAnsiTheme="minorHAnsi" w:cstheme="minorHAnsi"/>
          <w:bCs/>
          <w:sz w:val="22"/>
          <w:szCs w:val="22"/>
          <w:lang w:val="en-US" w:eastAsia="el-GR"/>
        </w:rPr>
        <w:t>and 4</w:t>
      </w:r>
      <w:r w:rsidRPr="00B64510">
        <w:rPr>
          <w:rFonts w:asciiTheme="minorHAnsi" w:eastAsiaTheme="majorEastAsia" w:hAnsiTheme="minorHAnsi" w:cstheme="minorHAnsi"/>
          <w:bCs/>
          <w:sz w:val="22"/>
          <w:szCs w:val="22"/>
          <w:vertAlign w:val="superscript"/>
          <w:lang w:val="en-US" w:eastAsia="el-GR"/>
        </w:rPr>
        <w:t>th</w:t>
      </w:r>
      <w:r>
        <w:rPr>
          <w:rFonts w:asciiTheme="minorHAnsi" w:eastAsiaTheme="majorEastAsia" w:hAnsiTheme="minorHAnsi" w:cstheme="minorHAnsi"/>
          <w:bCs/>
          <w:sz w:val="22"/>
          <w:szCs w:val="22"/>
          <w:lang w:val="en-US" w:eastAsia="el-GR"/>
        </w:rPr>
        <w:t xml:space="preserve"> </w:t>
      </w:r>
      <w:r w:rsidRPr="00B64510">
        <w:rPr>
          <w:rFonts w:asciiTheme="minorHAnsi" w:eastAsiaTheme="majorEastAsia" w:hAnsiTheme="minorHAnsi" w:cstheme="minorHAnsi"/>
          <w:bCs/>
          <w:sz w:val="22"/>
          <w:szCs w:val="22"/>
          <w:lang w:val="en-US" w:eastAsia="el-GR"/>
        </w:rPr>
        <w:t>semester</w:t>
      </w:r>
      <w:r w:rsidRPr="00B64510">
        <w:rPr>
          <w:rFonts w:asciiTheme="minorHAnsi" w:hAnsiTheme="minorHAnsi" w:cstheme="minorHAnsi"/>
          <w:sz w:val="22"/>
          <w:szCs w:val="22"/>
          <w:lang w:val="en-US" w:eastAsia="el-GR"/>
        </w:rPr>
        <w:t xml:space="preserve"> (</w:t>
      </w:r>
      <w:r w:rsidRPr="003262E0">
        <w:rPr>
          <w:rFonts w:asciiTheme="minorHAnsi" w:eastAsiaTheme="majorEastAsia" w:hAnsiTheme="minorHAnsi" w:cstheme="minorHAnsi"/>
          <w:iCs/>
          <w:sz w:val="22"/>
          <w:szCs w:val="22"/>
          <w:lang w:val="en-US" w:eastAsia="el-GR"/>
        </w:rPr>
        <w:t>n</w:t>
      </w:r>
      <w:r w:rsidRPr="003262E0">
        <w:rPr>
          <w:rFonts w:asciiTheme="minorHAnsi" w:hAnsiTheme="minorHAnsi" w:cstheme="minorHAnsi"/>
          <w:sz w:val="22"/>
          <w:szCs w:val="22"/>
          <w:lang w:val="en-US" w:eastAsia="el-GR"/>
        </w:rPr>
        <w:t xml:space="preserve"> = 59, n=52</w:t>
      </w:r>
      <w:r w:rsidRPr="00B64510">
        <w:rPr>
          <w:rFonts w:asciiTheme="minorHAnsi" w:hAnsiTheme="minorHAnsi" w:cstheme="minorHAnsi"/>
          <w:sz w:val="22"/>
          <w:szCs w:val="22"/>
          <w:lang w:val="en-US" w:eastAsia="el-GR"/>
        </w:rPr>
        <w:t>) (Table 1).</w:t>
      </w:r>
    </w:p>
    <w:p w14:paraId="7F665F5C" w14:textId="77777777" w:rsidR="00B64510" w:rsidRPr="00B64510" w:rsidRDefault="00B64510" w:rsidP="00B64510">
      <w:pPr>
        <w:suppressAutoHyphens w:val="0"/>
        <w:spacing w:before="240"/>
        <w:ind w:firstLine="284"/>
        <w:jc w:val="center"/>
        <w:rPr>
          <w:rFonts w:asciiTheme="minorHAnsi" w:hAnsiTheme="minorHAnsi" w:cstheme="minorHAnsi"/>
          <w:sz w:val="22"/>
          <w:szCs w:val="22"/>
          <w:lang w:eastAsia="el-GR"/>
        </w:rPr>
      </w:pPr>
      <w:proofErr w:type="spellStart"/>
      <w:r w:rsidRPr="00B64510">
        <w:rPr>
          <w:rFonts w:asciiTheme="minorHAnsi" w:eastAsiaTheme="majorEastAsia" w:hAnsiTheme="minorHAnsi" w:cstheme="minorHAnsi"/>
          <w:b/>
          <w:bCs/>
          <w:sz w:val="22"/>
          <w:szCs w:val="22"/>
          <w:lang w:eastAsia="el-GR"/>
        </w:rPr>
        <w:t>Table</w:t>
      </w:r>
      <w:proofErr w:type="spellEnd"/>
      <w:r w:rsidRPr="00B64510">
        <w:rPr>
          <w:rFonts w:asciiTheme="minorHAnsi" w:eastAsiaTheme="majorEastAsia" w:hAnsiTheme="minorHAnsi" w:cstheme="minorHAnsi"/>
          <w:b/>
          <w:bCs/>
          <w:sz w:val="22"/>
          <w:szCs w:val="22"/>
          <w:lang w:eastAsia="el-GR"/>
        </w:rPr>
        <w:t xml:space="preserve"> 1. </w:t>
      </w:r>
      <w:proofErr w:type="spellStart"/>
      <w:r w:rsidRPr="00B64510">
        <w:rPr>
          <w:rFonts w:asciiTheme="minorHAnsi" w:eastAsiaTheme="majorEastAsia" w:hAnsiTheme="minorHAnsi" w:cstheme="minorHAnsi"/>
          <w:b/>
          <w:bCs/>
          <w:sz w:val="22"/>
          <w:szCs w:val="22"/>
          <w:lang w:eastAsia="el-GR"/>
        </w:rPr>
        <w:t>Sample</w:t>
      </w:r>
      <w:proofErr w:type="spellEnd"/>
      <w:r w:rsidRPr="00B64510">
        <w:rPr>
          <w:rFonts w:asciiTheme="minorHAnsi" w:eastAsiaTheme="majorEastAsia" w:hAnsiTheme="minorHAnsi" w:cstheme="minorHAnsi"/>
          <w:b/>
          <w:bCs/>
          <w:sz w:val="22"/>
          <w:szCs w:val="22"/>
          <w:lang w:eastAsia="el-GR"/>
        </w:rPr>
        <w:t xml:space="preserve"> </w:t>
      </w:r>
      <w:proofErr w:type="spellStart"/>
      <w:r w:rsidRPr="00B64510">
        <w:rPr>
          <w:rFonts w:asciiTheme="minorHAnsi" w:eastAsiaTheme="majorEastAsia" w:hAnsiTheme="minorHAnsi" w:cstheme="minorHAnsi"/>
          <w:b/>
          <w:bCs/>
          <w:sz w:val="22"/>
          <w:szCs w:val="22"/>
          <w:lang w:eastAsia="el-GR"/>
        </w:rPr>
        <w:t>characteristics</w:t>
      </w:r>
      <w:proofErr w:type="spellEnd"/>
      <w:r w:rsidRPr="00B64510">
        <w:rPr>
          <w:rFonts w:asciiTheme="minorHAnsi" w:eastAsiaTheme="majorEastAsia" w:hAnsiTheme="minorHAnsi" w:cstheme="minorHAnsi"/>
          <w:b/>
          <w:bCs/>
          <w:sz w:val="22"/>
          <w:szCs w:val="22"/>
          <w:lang w:eastAsia="el-GR"/>
        </w:rPr>
        <w:t xml:space="preserve"> (N = 221)</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694"/>
        <w:gridCol w:w="1162"/>
        <w:gridCol w:w="679"/>
        <w:gridCol w:w="1134"/>
      </w:tblGrid>
      <w:tr w:rsidR="00B64510" w:rsidRPr="00B64510" w14:paraId="021E9504" w14:textId="77777777" w:rsidTr="003262E0">
        <w:trPr>
          <w:tblHeader/>
          <w:tblCellSpacing w:w="15" w:type="dxa"/>
          <w:jc w:val="center"/>
        </w:trPr>
        <w:tc>
          <w:tcPr>
            <w:tcW w:w="2649" w:type="dxa"/>
            <w:tcBorders>
              <w:top w:val="single" w:sz="8" w:space="0" w:color="auto"/>
              <w:bottom w:val="single" w:sz="8" w:space="0" w:color="auto"/>
            </w:tcBorders>
            <w:hideMark/>
          </w:tcPr>
          <w:p w14:paraId="15654057" w14:textId="77777777" w:rsidR="00B64510" w:rsidRPr="00B64510" w:rsidRDefault="00B64510" w:rsidP="002D6DE2">
            <w:pPr>
              <w:suppressAutoHyphens w:val="0"/>
              <w:ind w:firstLine="284"/>
              <w:rPr>
                <w:rFonts w:asciiTheme="minorHAnsi" w:hAnsiTheme="minorHAnsi" w:cstheme="minorHAnsi"/>
                <w:b/>
                <w:bCs/>
                <w:sz w:val="22"/>
                <w:szCs w:val="22"/>
                <w:lang w:eastAsia="el-GR"/>
              </w:rPr>
            </w:pPr>
            <w:proofErr w:type="spellStart"/>
            <w:r w:rsidRPr="00B64510">
              <w:rPr>
                <w:rFonts w:asciiTheme="minorHAnsi" w:hAnsiTheme="minorHAnsi" w:cstheme="minorHAnsi"/>
                <w:b/>
                <w:bCs/>
                <w:sz w:val="22"/>
                <w:szCs w:val="22"/>
                <w:lang w:eastAsia="el-GR"/>
              </w:rPr>
              <w:t>Variable</w:t>
            </w:r>
            <w:proofErr w:type="spellEnd"/>
          </w:p>
        </w:tc>
        <w:tc>
          <w:tcPr>
            <w:tcW w:w="1132" w:type="dxa"/>
            <w:tcBorders>
              <w:top w:val="single" w:sz="8" w:space="0" w:color="auto"/>
              <w:bottom w:val="single" w:sz="8" w:space="0" w:color="auto"/>
            </w:tcBorders>
            <w:hideMark/>
          </w:tcPr>
          <w:p w14:paraId="6861FD14" w14:textId="77777777" w:rsidR="00B64510" w:rsidRPr="00B64510" w:rsidRDefault="00B64510" w:rsidP="002D6DE2">
            <w:pPr>
              <w:suppressAutoHyphens w:val="0"/>
              <w:ind w:firstLine="284"/>
              <w:rPr>
                <w:rFonts w:asciiTheme="minorHAnsi" w:hAnsiTheme="minorHAnsi" w:cstheme="minorHAnsi"/>
                <w:b/>
                <w:bCs/>
                <w:sz w:val="22"/>
                <w:szCs w:val="22"/>
                <w:lang w:eastAsia="el-GR"/>
              </w:rPr>
            </w:pPr>
            <w:proofErr w:type="spellStart"/>
            <w:r w:rsidRPr="00B64510">
              <w:rPr>
                <w:rFonts w:asciiTheme="minorHAnsi" w:hAnsiTheme="minorHAnsi" w:cstheme="minorHAnsi"/>
                <w:b/>
                <w:bCs/>
                <w:sz w:val="22"/>
                <w:szCs w:val="22"/>
                <w:lang w:eastAsia="el-GR"/>
              </w:rPr>
              <w:t>Category</w:t>
            </w:r>
            <w:proofErr w:type="spellEnd"/>
          </w:p>
        </w:tc>
        <w:tc>
          <w:tcPr>
            <w:tcW w:w="649" w:type="dxa"/>
            <w:tcBorders>
              <w:top w:val="single" w:sz="8" w:space="0" w:color="auto"/>
              <w:bottom w:val="single" w:sz="8" w:space="0" w:color="auto"/>
            </w:tcBorders>
            <w:hideMark/>
          </w:tcPr>
          <w:p w14:paraId="1236E04E" w14:textId="77777777" w:rsidR="00B64510" w:rsidRPr="00B64510" w:rsidRDefault="00B64510" w:rsidP="002D6DE2">
            <w:pPr>
              <w:suppressAutoHyphens w:val="0"/>
              <w:ind w:firstLine="284"/>
              <w:rPr>
                <w:rFonts w:asciiTheme="minorHAnsi" w:hAnsiTheme="minorHAnsi" w:cstheme="minorHAnsi"/>
                <w:b/>
                <w:bCs/>
                <w:sz w:val="22"/>
                <w:szCs w:val="22"/>
                <w:lang w:eastAsia="el-GR"/>
              </w:rPr>
            </w:pPr>
            <w:r w:rsidRPr="00B64510">
              <w:rPr>
                <w:rFonts w:asciiTheme="minorHAnsi" w:hAnsiTheme="minorHAnsi" w:cstheme="minorHAnsi"/>
                <w:b/>
                <w:bCs/>
                <w:sz w:val="22"/>
                <w:szCs w:val="22"/>
                <w:lang w:eastAsia="el-GR"/>
              </w:rPr>
              <w:t>n</w:t>
            </w:r>
          </w:p>
        </w:tc>
        <w:tc>
          <w:tcPr>
            <w:tcW w:w="1089" w:type="dxa"/>
            <w:tcBorders>
              <w:top w:val="single" w:sz="8" w:space="0" w:color="auto"/>
              <w:bottom w:val="single" w:sz="8" w:space="0" w:color="auto"/>
            </w:tcBorders>
            <w:hideMark/>
          </w:tcPr>
          <w:p w14:paraId="5E47C35C" w14:textId="77777777" w:rsidR="00B64510" w:rsidRPr="00B64510" w:rsidRDefault="00B64510" w:rsidP="002D6DE2">
            <w:pPr>
              <w:suppressAutoHyphens w:val="0"/>
              <w:ind w:firstLine="284"/>
              <w:rPr>
                <w:rFonts w:asciiTheme="minorHAnsi" w:hAnsiTheme="minorHAnsi" w:cstheme="minorHAnsi"/>
                <w:b/>
                <w:bCs/>
                <w:sz w:val="22"/>
                <w:szCs w:val="22"/>
                <w:lang w:eastAsia="el-GR"/>
              </w:rPr>
            </w:pPr>
            <w:r w:rsidRPr="00B64510">
              <w:rPr>
                <w:rFonts w:asciiTheme="minorHAnsi" w:hAnsiTheme="minorHAnsi" w:cstheme="minorHAnsi"/>
                <w:b/>
                <w:bCs/>
                <w:sz w:val="22"/>
                <w:szCs w:val="22"/>
                <w:lang w:eastAsia="el-GR"/>
              </w:rPr>
              <w:t>%</w:t>
            </w:r>
          </w:p>
        </w:tc>
      </w:tr>
      <w:tr w:rsidR="00B64510" w:rsidRPr="00B64510" w14:paraId="089F3980" w14:textId="77777777" w:rsidTr="000C6ABC">
        <w:trPr>
          <w:tblCellSpacing w:w="15" w:type="dxa"/>
          <w:jc w:val="center"/>
        </w:trPr>
        <w:tc>
          <w:tcPr>
            <w:tcW w:w="2649" w:type="dxa"/>
            <w:hideMark/>
          </w:tcPr>
          <w:p w14:paraId="164A823C" w14:textId="77777777" w:rsidR="00B64510" w:rsidRPr="00B64510" w:rsidRDefault="00B64510" w:rsidP="002D6DE2">
            <w:pPr>
              <w:suppressAutoHyphens w:val="0"/>
              <w:ind w:firstLine="284"/>
              <w:rPr>
                <w:rFonts w:asciiTheme="minorHAnsi" w:hAnsiTheme="minorHAnsi" w:cstheme="minorHAnsi"/>
                <w:sz w:val="22"/>
                <w:szCs w:val="22"/>
                <w:lang w:eastAsia="el-GR"/>
              </w:rPr>
            </w:pPr>
            <w:proofErr w:type="spellStart"/>
            <w:r w:rsidRPr="00B64510">
              <w:rPr>
                <w:rFonts w:asciiTheme="minorHAnsi" w:hAnsiTheme="minorHAnsi" w:cstheme="minorHAnsi"/>
                <w:sz w:val="22"/>
                <w:szCs w:val="22"/>
                <w:lang w:eastAsia="el-GR"/>
              </w:rPr>
              <w:t>Semester</w:t>
            </w:r>
            <w:proofErr w:type="spellEnd"/>
            <w:r w:rsidRPr="00B64510">
              <w:rPr>
                <w:rFonts w:asciiTheme="minorHAnsi" w:hAnsiTheme="minorHAnsi" w:cstheme="minorHAnsi"/>
                <w:sz w:val="22"/>
                <w:szCs w:val="22"/>
                <w:lang w:eastAsia="el-GR"/>
              </w:rPr>
              <w:t xml:space="preserve"> (</w:t>
            </w:r>
            <w:proofErr w:type="spellStart"/>
            <w:r w:rsidRPr="00B64510">
              <w:rPr>
                <w:rFonts w:asciiTheme="minorHAnsi" w:hAnsiTheme="minorHAnsi" w:cstheme="minorHAnsi"/>
                <w:sz w:val="22"/>
                <w:szCs w:val="22"/>
                <w:lang w:eastAsia="el-GR"/>
              </w:rPr>
              <w:t>valid</w:t>
            </w:r>
            <w:proofErr w:type="spellEnd"/>
            <w:r w:rsidRPr="00B64510">
              <w:rPr>
                <w:rFonts w:asciiTheme="minorHAnsi" w:hAnsiTheme="minorHAnsi" w:cstheme="minorHAnsi"/>
                <w:sz w:val="22"/>
                <w:szCs w:val="22"/>
                <w:lang w:eastAsia="el-GR"/>
              </w:rPr>
              <w:t xml:space="preserve"> n=217)</w:t>
            </w:r>
          </w:p>
        </w:tc>
        <w:tc>
          <w:tcPr>
            <w:tcW w:w="1132" w:type="dxa"/>
            <w:hideMark/>
          </w:tcPr>
          <w:p w14:paraId="4372FF0E" w14:textId="77777777" w:rsidR="00B64510" w:rsidRPr="00B64510" w:rsidRDefault="00B64510" w:rsidP="002D6DE2">
            <w:pPr>
              <w:suppressAutoHyphens w:val="0"/>
              <w:ind w:firstLine="284"/>
              <w:rPr>
                <w:rFonts w:asciiTheme="minorHAnsi" w:hAnsiTheme="minorHAnsi" w:cstheme="minorHAnsi"/>
                <w:sz w:val="22"/>
                <w:szCs w:val="22"/>
                <w:lang w:eastAsia="el-GR"/>
              </w:rPr>
            </w:pPr>
            <w:r w:rsidRPr="00B64510">
              <w:rPr>
                <w:rFonts w:asciiTheme="minorHAnsi" w:hAnsiTheme="minorHAnsi" w:cstheme="minorHAnsi"/>
                <w:sz w:val="22"/>
                <w:szCs w:val="22"/>
                <w:lang w:eastAsia="el-GR"/>
              </w:rPr>
              <w:t>1st</w:t>
            </w:r>
          </w:p>
        </w:tc>
        <w:tc>
          <w:tcPr>
            <w:tcW w:w="649" w:type="dxa"/>
            <w:hideMark/>
          </w:tcPr>
          <w:p w14:paraId="2DAF8BF6" w14:textId="77777777" w:rsidR="00B64510" w:rsidRPr="00B64510" w:rsidRDefault="00B64510" w:rsidP="002D6DE2">
            <w:pPr>
              <w:suppressAutoHyphens w:val="0"/>
              <w:ind w:firstLine="284"/>
              <w:rPr>
                <w:rFonts w:asciiTheme="minorHAnsi" w:hAnsiTheme="minorHAnsi" w:cstheme="minorHAnsi"/>
                <w:sz w:val="22"/>
                <w:szCs w:val="22"/>
                <w:lang w:eastAsia="el-GR"/>
              </w:rPr>
            </w:pPr>
            <w:r w:rsidRPr="00B64510">
              <w:rPr>
                <w:rFonts w:asciiTheme="minorHAnsi" w:hAnsiTheme="minorHAnsi" w:cstheme="minorHAnsi"/>
                <w:sz w:val="22"/>
                <w:szCs w:val="22"/>
                <w:lang w:eastAsia="el-GR"/>
              </w:rPr>
              <w:t>3</w:t>
            </w:r>
          </w:p>
        </w:tc>
        <w:tc>
          <w:tcPr>
            <w:tcW w:w="1089" w:type="dxa"/>
            <w:hideMark/>
          </w:tcPr>
          <w:p w14:paraId="429927F8" w14:textId="77777777" w:rsidR="00B64510" w:rsidRPr="00B64510" w:rsidRDefault="00B64510" w:rsidP="002D6DE2">
            <w:pPr>
              <w:suppressAutoHyphens w:val="0"/>
              <w:ind w:firstLine="284"/>
              <w:rPr>
                <w:rFonts w:asciiTheme="minorHAnsi" w:hAnsiTheme="minorHAnsi" w:cstheme="minorHAnsi"/>
                <w:sz w:val="22"/>
                <w:szCs w:val="22"/>
                <w:lang w:eastAsia="el-GR"/>
              </w:rPr>
            </w:pPr>
            <w:r w:rsidRPr="00B64510">
              <w:rPr>
                <w:rFonts w:asciiTheme="minorHAnsi" w:hAnsiTheme="minorHAnsi" w:cstheme="minorHAnsi"/>
                <w:sz w:val="22"/>
                <w:szCs w:val="22"/>
                <w:lang w:eastAsia="el-GR"/>
              </w:rPr>
              <w:t>1.4</w:t>
            </w:r>
          </w:p>
        </w:tc>
      </w:tr>
      <w:tr w:rsidR="00B64510" w:rsidRPr="00B64510" w14:paraId="34F6C613" w14:textId="77777777" w:rsidTr="002D6DE2">
        <w:trPr>
          <w:tblCellSpacing w:w="15" w:type="dxa"/>
          <w:jc w:val="center"/>
        </w:trPr>
        <w:tc>
          <w:tcPr>
            <w:tcW w:w="2649" w:type="dxa"/>
            <w:hideMark/>
          </w:tcPr>
          <w:p w14:paraId="5F6DA642" w14:textId="77777777" w:rsidR="00B64510" w:rsidRPr="00B64510" w:rsidRDefault="00B64510" w:rsidP="002D6DE2">
            <w:pPr>
              <w:suppressAutoHyphens w:val="0"/>
              <w:ind w:firstLine="284"/>
              <w:rPr>
                <w:rFonts w:asciiTheme="minorHAnsi" w:hAnsiTheme="minorHAnsi" w:cstheme="minorHAnsi"/>
                <w:sz w:val="22"/>
                <w:szCs w:val="22"/>
                <w:lang w:eastAsia="el-GR"/>
              </w:rPr>
            </w:pPr>
          </w:p>
        </w:tc>
        <w:tc>
          <w:tcPr>
            <w:tcW w:w="1132" w:type="dxa"/>
            <w:hideMark/>
          </w:tcPr>
          <w:p w14:paraId="0C902C1D" w14:textId="77777777" w:rsidR="00B64510" w:rsidRPr="00B64510" w:rsidRDefault="00B64510" w:rsidP="002D6DE2">
            <w:pPr>
              <w:suppressAutoHyphens w:val="0"/>
              <w:ind w:firstLine="284"/>
              <w:rPr>
                <w:rFonts w:asciiTheme="minorHAnsi" w:hAnsiTheme="minorHAnsi" w:cstheme="minorHAnsi"/>
                <w:sz w:val="22"/>
                <w:szCs w:val="22"/>
                <w:lang w:eastAsia="el-GR"/>
              </w:rPr>
            </w:pPr>
            <w:r w:rsidRPr="00B64510">
              <w:rPr>
                <w:rFonts w:asciiTheme="minorHAnsi" w:hAnsiTheme="minorHAnsi" w:cstheme="minorHAnsi"/>
                <w:sz w:val="22"/>
                <w:szCs w:val="22"/>
                <w:lang w:eastAsia="el-GR"/>
              </w:rPr>
              <w:t>2nd</w:t>
            </w:r>
          </w:p>
        </w:tc>
        <w:tc>
          <w:tcPr>
            <w:tcW w:w="649" w:type="dxa"/>
            <w:hideMark/>
          </w:tcPr>
          <w:p w14:paraId="11F90ADC" w14:textId="77777777" w:rsidR="00B64510" w:rsidRPr="00B64510" w:rsidRDefault="00B64510" w:rsidP="002D6DE2">
            <w:pPr>
              <w:suppressAutoHyphens w:val="0"/>
              <w:ind w:firstLine="284"/>
              <w:rPr>
                <w:rFonts w:asciiTheme="minorHAnsi" w:hAnsiTheme="minorHAnsi" w:cstheme="minorHAnsi"/>
                <w:sz w:val="22"/>
                <w:szCs w:val="22"/>
                <w:lang w:eastAsia="el-GR"/>
              </w:rPr>
            </w:pPr>
            <w:r w:rsidRPr="00B64510">
              <w:rPr>
                <w:rFonts w:asciiTheme="minorHAnsi" w:hAnsiTheme="minorHAnsi" w:cstheme="minorHAnsi"/>
                <w:sz w:val="22"/>
                <w:szCs w:val="22"/>
                <w:lang w:eastAsia="el-GR"/>
              </w:rPr>
              <w:t>59</w:t>
            </w:r>
          </w:p>
        </w:tc>
        <w:tc>
          <w:tcPr>
            <w:tcW w:w="1089" w:type="dxa"/>
            <w:hideMark/>
          </w:tcPr>
          <w:p w14:paraId="1A2267DA" w14:textId="77777777" w:rsidR="00B64510" w:rsidRPr="00B64510" w:rsidRDefault="00B64510" w:rsidP="002D6DE2">
            <w:pPr>
              <w:suppressAutoHyphens w:val="0"/>
              <w:ind w:firstLine="284"/>
              <w:rPr>
                <w:rFonts w:asciiTheme="minorHAnsi" w:hAnsiTheme="minorHAnsi" w:cstheme="minorHAnsi"/>
                <w:sz w:val="22"/>
                <w:szCs w:val="22"/>
                <w:lang w:eastAsia="el-GR"/>
              </w:rPr>
            </w:pPr>
            <w:r w:rsidRPr="00B64510">
              <w:rPr>
                <w:rFonts w:asciiTheme="minorHAnsi" w:hAnsiTheme="minorHAnsi" w:cstheme="minorHAnsi"/>
                <w:sz w:val="22"/>
                <w:szCs w:val="22"/>
                <w:lang w:eastAsia="el-GR"/>
              </w:rPr>
              <w:t>27.2</w:t>
            </w:r>
          </w:p>
        </w:tc>
      </w:tr>
      <w:tr w:rsidR="00B64510" w:rsidRPr="00B64510" w14:paraId="3BF0D79F" w14:textId="77777777" w:rsidTr="002D6DE2">
        <w:trPr>
          <w:tblCellSpacing w:w="15" w:type="dxa"/>
          <w:jc w:val="center"/>
        </w:trPr>
        <w:tc>
          <w:tcPr>
            <w:tcW w:w="2649" w:type="dxa"/>
            <w:hideMark/>
          </w:tcPr>
          <w:p w14:paraId="7A19A35C" w14:textId="77777777" w:rsidR="00B64510" w:rsidRPr="00B64510" w:rsidRDefault="00B64510" w:rsidP="002D6DE2">
            <w:pPr>
              <w:suppressAutoHyphens w:val="0"/>
              <w:ind w:firstLine="284"/>
              <w:rPr>
                <w:rFonts w:asciiTheme="minorHAnsi" w:hAnsiTheme="minorHAnsi" w:cstheme="minorHAnsi"/>
                <w:sz w:val="22"/>
                <w:szCs w:val="22"/>
                <w:lang w:eastAsia="el-GR"/>
              </w:rPr>
            </w:pPr>
          </w:p>
        </w:tc>
        <w:tc>
          <w:tcPr>
            <w:tcW w:w="1132" w:type="dxa"/>
            <w:hideMark/>
          </w:tcPr>
          <w:p w14:paraId="449D062B" w14:textId="77777777" w:rsidR="00B64510" w:rsidRPr="00B64510" w:rsidRDefault="00B64510" w:rsidP="002D6DE2">
            <w:pPr>
              <w:suppressAutoHyphens w:val="0"/>
              <w:ind w:firstLine="284"/>
              <w:rPr>
                <w:rFonts w:asciiTheme="minorHAnsi" w:hAnsiTheme="minorHAnsi" w:cstheme="minorHAnsi"/>
                <w:sz w:val="22"/>
                <w:szCs w:val="22"/>
                <w:lang w:eastAsia="el-GR"/>
              </w:rPr>
            </w:pPr>
            <w:r w:rsidRPr="00B64510">
              <w:rPr>
                <w:rFonts w:asciiTheme="minorHAnsi" w:hAnsiTheme="minorHAnsi" w:cstheme="minorHAnsi"/>
                <w:sz w:val="22"/>
                <w:szCs w:val="22"/>
                <w:lang w:eastAsia="el-GR"/>
              </w:rPr>
              <w:t>3rd</w:t>
            </w:r>
          </w:p>
        </w:tc>
        <w:tc>
          <w:tcPr>
            <w:tcW w:w="649" w:type="dxa"/>
            <w:hideMark/>
          </w:tcPr>
          <w:p w14:paraId="5702824D" w14:textId="77777777" w:rsidR="00B64510" w:rsidRPr="00B64510" w:rsidRDefault="00B64510" w:rsidP="002D6DE2">
            <w:pPr>
              <w:suppressAutoHyphens w:val="0"/>
              <w:ind w:firstLine="284"/>
              <w:rPr>
                <w:rFonts w:asciiTheme="minorHAnsi" w:hAnsiTheme="minorHAnsi" w:cstheme="minorHAnsi"/>
                <w:sz w:val="22"/>
                <w:szCs w:val="22"/>
                <w:lang w:eastAsia="el-GR"/>
              </w:rPr>
            </w:pPr>
            <w:r w:rsidRPr="00B64510">
              <w:rPr>
                <w:rFonts w:asciiTheme="minorHAnsi" w:hAnsiTheme="minorHAnsi" w:cstheme="minorHAnsi"/>
                <w:sz w:val="22"/>
                <w:szCs w:val="22"/>
                <w:lang w:eastAsia="el-GR"/>
              </w:rPr>
              <w:t>3</w:t>
            </w:r>
          </w:p>
        </w:tc>
        <w:tc>
          <w:tcPr>
            <w:tcW w:w="1089" w:type="dxa"/>
            <w:hideMark/>
          </w:tcPr>
          <w:p w14:paraId="164DA648" w14:textId="77777777" w:rsidR="00B64510" w:rsidRPr="00B64510" w:rsidRDefault="00B64510" w:rsidP="002D6DE2">
            <w:pPr>
              <w:suppressAutoHyphens w:val="0"/>
              <w:ind w:firstLine="284"/>
              <w:rPr>
                <w:rFonts w:asciiTheme="minorHAnsi" w:hAnsiTheme="minorHAnsi" w:cstheme="minorHAnsi"/>
                <w:sz w:val="22"/>
                <w:szCs w:val="22"/>
                <w:lang w:eastAsia="el-GR"/>
              </w:rPr>
            </w:pPr>
            <w:r w:rsidRPr="00B64510">
              <w:rPr>
                <w:rFonts w:asciiTheme="minorHAnsi" w:hAnsiTheme="minorHAnsi" w:cstheme="minorHAnsi"/>
                <w:sz w:val="22"/>
                <w:szCs w:val="22"/>
                <w:lang w:eastAsia="el-GR"/>
              </w:rPr>
              <w:t>1.4</w:t>
            </w:r>
          </w:p>
        </w:tc>
      </w:tr>
      <w:tr w:rsidR="00B64510" w:rsidRPr="00B64510" w14:paraId="7AD94302" w14:textId="77777777" w:rsidTr="002D6DE2">
        <w:trPr>
          <w:tblCellSpacing w:w="15" w:type="dxa"/>
          <w:jc w:val="center"/>
        </w:trPr>
        <w:tc>
          <w:tcPr>
            <w:tcW w:w="2649" w:type="dxa"/>
            <w:hideMark/>
          </w:tcPr>
          <w:p w14:paraId="218CC2D5" w14:textId="77777777" w:rsidR="00B64510" w:rsidRPr="00B64510" w:rsidRDefault="00B64510" w:rsidP="002D6DE2">
            <w:pPr>
              <w:suppressAutoHyphens w:val="0"/>
              <w:ind w:firstLine="284"/>
              <w:rPr>
                <w:rFonts w:asciiTheme="minorHAnsi" w:hAnsiTheme="minorHAnsi" w:cstheme="minorHAnsi"/>
                <w:sz w:val="22"/>
                <w:szCs w:val="22"/>
                <w:lang w:eastAsia="el-GR"/>
              </w:rPr>
            </w:pPr>
          </w:p>
        </w:tc>
        <w:tc>
          <w:tcPr>
            <w:tcW w:w="1132" w:type="dxa"/>
            <w:hideMark/>
          </w:tcPr>
          <w:p w14:paraId="301B3794" w14:textId="77777777" w:rsidR="00B64510" w:rsidRPr="00B64510" w:rsidRDefault="00B64510" w:rsidP="002D6DE2">
            <w:pPr>
              <w:suppressAutoHyphens w:val="0"/>
              <w:ind w:firstLine="284"/>
              <w:rPr>
                <w:rFonts w:asciiTheme="minorHAnsi" w:hAnsiTheme="minorHAnsi" w:cstheme="minorHAnsi"/>
                <w:sz w:val="22"/>
                <w:szCs w:val="22"/>
                <w:lang w:eastAsia="el-GR"/>
              </w:rPr>
            </w:pPr>
            <w:r w:rsidRPr="00B64510">
              <w:rPr>
                <w:rFonts w:asciiTheme="minorHAnsi" w:hAnsiTheme="minorHAnsi" w:cstheme="minorHAnsi"/>
                <w:sz w:val="22"/>
                <w:szCs w:val="22"/>
                <w:lang w:eastAsia="el-GR"/>
              </w:rPr>
              <w:t>4th</w:t>
            </w:r>
          </w:p>
        </w:tc>
        <w:tc>
          <w:tcPr>
            <w:tcW w:w="649" w:type="dxa"/>
            <w:hideMark/>
          </w:tcPr>
          <w:p w14:paraId="1F2FE636" w14:textId="77777777" w:rsidR="00B64510" w:rsidRPr="00B64510" w:rsidRDefault="00B64510" w:rsidP="002D6DE2">
            <w:pPr>
              <w:suppressAutoHyphens w:val="0"/>
              <w:ind w:firstLine="284"/>
              <w:rPr>
                <w:rFonts w:asciiTheme="minorHAnsi" w:hAnsiTheme="minorHAnsi" w:cstheme="minorHAnsi"/>
                <w:sz w:val="22"/>
                <w:szCs w:val="22"/>
                <w:lang w:eastAsia="el-GR"/>
              </w:rPr>
            </w:pPr>
            <w:r w:rsidRPr="00B64510">
              <w:rPr>
                <w:rFonts w:asciiTheme="minorHAnsi" w:hAnsiTheme="minorHAnsi" w:cstheme="minorHAnsi"/>
                <w:sz w:val="22"/>
                <w:szCs w:val="22"/>
                <w:lang w:eastAsia="el-GR"/>
              </w:rPr>
              <w:t>52</w:t>
            </w:r>
          </w:p>
        </w:tc>
        <w:tc>
          <w:tcPr>
            <w:tcW w:w="1089" w:type="dxa"/>
            <w:hideMark/>
          </w:tcPr>
          <w:p w14:paraId="0B9F5700" w14:textId="77777777" w:rsidR="00B64510" w:rsidRPr="00B64510" w:rsidRDefault="00B64510" w:rsidP="002D6DE2">
            <w:pPr>
              <w:suppressAutoHyphens w:val="0"/>
              <w:ind w:firstLine="284"/>
              <w:rPr>
                <w:rFonts w:asciiTheme="minorHAnsi" w:hAnsiTheme="minorHAnsi" w:cstheme="minorHAnsi"/>
                <w:sz w:val="22"/>
                <w:szCs w:val="22"/>
                <w:lang w:eastAsia="el-GR"/>
              </w:rPr>
            </w:pPr>
            <w:r w:rsidRPr="00B64510">
              <w:rPr>
                <w:rFonts w:asciiTheme="minorHAnsi" w:hAnsiTheme="minorHAnsi" w:cstheme="minorHAnsi"/>
                <w:sz w:val="22"/>
                <w:szCs w:val="22"/>
                <w:lang w:eastAsia="el-GR"/>
              </w:rPr>
              <w:t>24.0</w:t>
            </w:r>
          </w:p>
        </w:tc>
      </w:tr>
      <w:tr w:rsidR="00B64510" w:rsidRPr="00B64510" w14:paraId="2B8BF15C" w14:textId="77777777" w:rsidTr="002D6DE2">
        <w:trPr>
          <w:tblCellSpacing w:w="15" w:type="dxa"/>
          <w:jc w:val="center"/>
        </w:trPr>
        <w:tc>
          <w:tcPr>
            <w:tcW w:w="2649" w:type="dxa"/>
            <w:hideMark/>
          </w:tcPr>
          <w:p w14:paraId="7BECA3C7" w14:textId="77777777" w:rsidR="00B64510" w:rsidRPr="00B64510" w:rsidRDefault="00B64510" w:rsidP="002D6DE2">
            <w:pPr>
              <w:suppressAutoHyphens w:val="0"/>
              <w:ind w:firstLine="284"/>
              <w:rPr>
                <w:rFonts w:asciiTheme="minorHAnsi" w:hAnsiTheme="minorHAnsi" w:cstheme="minorHAnsi"/>
                <w:sz w:val="22"/>
                <w:szCs w:val="22"/>
                <w:lang w:eastAsia="el-GR"/>
              </w:rPr>
            </w:pPr>
          </w:p>
        </w:tc>
        <w:tc>
          <w:tcPr>
            <w:tcW w:w="1132" w:type="dxa"/>
            <w:hideMark/>
          </w:tcPr>
          <w:p w14:paraId="4053F377" w14:textId="77777777" w:rsidR="00B64510" w:rsidRPr="00B64510" w:rsidRDefault="00B64510" w:rsidP="002D6DE2">
            <w:pPr>
              <w:suppressAutoHyphens w:val="0"/>
              <w:ind w:firstLine="284"/>
              <w:rPr>
                <w:rFonts w:asciiTheme="minorHAnsi" w:hAnsiTheme="minorHAnsi" w:cstheme="minorHAnsi"/>
                <w:sz w:val="22"/>
                <w:szCs w:val="22"/>
                <w:lang w:eastAsia="el-GR"/>
              </w:rPr>
            </w:pPr>
            <w:r w:rsidRPr="00B64510">
              <w:rPr>
                <w:rFonts w:asciiTheme="minorHAnsi" w:hAnsiTheme="minorHAnsi" w:cstheme="minorHAnsi"/>
                <w:sz w:val="22"/>
                <w:szCs w:val="22"/>
                <w:lang w:eastAsia="el-GR"/>
              </w:rPr>
              <w:t>6th</w:t>
            </w:r>
          </w:p>
        </w:tc>
        <w:tc>
          <w:tcPr>
            <w:tcW w:w="649" w:type="dxa"/>
            <w:hideMark/>
          </w:tcPr>
          <w:p w14:paraId="6FB004E7" w14:textId="77777777" w:rsidR="00B64510" w:rsidRPr="00B64510" w:rsidRDefault="00B64510" w:rsidP="002D6DE2">
            <w:pPr>
              <w:suppressAutoHyphens w:val="0"/>
              <w:ind w:firstLine="284"/>
              <w:rPr>
                <w:rFonts w:asciiTheme="minorHAnsi" w:hAnsiTheme="minorHAnsi" w:cstheme="minorHAnsi"/>
                <w:sz w:val="22"/>
                <w:szCs w:val="22"/>
                <w:lang w:eastAsia="el-GR"/>
              </w:rPr>
            </w:pPr>
            <w:r w:rsidRPr="00B64510">
              <w:rPr>
                <w:rFonts w:asciiTheme="minorHAnsi" w:hAnsiTheme="minorHAnsi" w:cstheme="minorHAnsi"/>
                <w:sz w:val="22"/>
                <w:szCs w:val="22"/>
                <w:lang w:eastAsia="el-GR"/>
              </w:rPr>
              <w:t>23</w:t>
            </w:r>
          </w:p>
        </w:tc>
        <w:tc>
          <w:tcPr>
            <w:tcW w:w="1089" w:type="dxa"/>
            <w:hideMark/>
          </w:tcPr>
          <w:p w14:paraId="4EB9089B" w14:textId="77777777" w:rsidR="00B64510" w:rsidRPr="00B64510" w:rsidRDefault="00B64510" w:rsidP="002D6DE2">
            <w:pPr>
              <w:suppressAutoHyphens w:val="0"/>
              <w:ind w:firstLine="284"/>
              <w:rPr>
                <w:rFonts w:asciiTheme="minorHAnsi" w:hAnsiTheme="minorHAnsi" w:cstheme="minorHAnsi"/>
                <w:sz w:val="22"/>
                <w:szCs w:val="22"/>
                <w:lang w:eastAsia="el-GR"/>
              </w:rPr>
            </w:pPr>
            <w:r w:rsidRPr="00B64510">
              <w:rPr>
                <w:rFonts w:asciiTheme="minorHAnsi" w:hAnsiTheme="minorHAnsi" w:cstheme="minorHAnsi"/>
                <w:sz w:val="22"/>
                <w:szCs w:val="22"/>
                <w:lang w:eastAsia="el-GR"/>
              </w:rPr>
              <w:t>10.6</w:t>
            </w:r>
          </w:p>
        </w:tc>
      </w:tr>
      <w:tr w:rsidR="00B64510" w:rsidRPr="00B64510" w14:paraId="496EA9A8" w14:textId="77777777" w:rsidTr="002D6DE2">
        <w:trPr>
          <w:tblCellSpacing w:w="15" w:type="dxa"/>
          <w:jc w:val="center"/>
        </w:trPr>
        <w:tc>
          <w:tcPr>
            <w:tcW w:w="2649" w:type="dxa"/>
            <w:hideMark/>
          </w:tcPr>
          <w:p w14:paraId="32B7221A" w14:textId="77777777" w:rsidR="00B64510" w:rsidRPr="00B64510" w:rsidRDefault="00B64510" w:rsidP="002D6DE2">
            <w:pPr>
              <w:suppressAutoHyphens w:val="0"/>
              <w:ind w:firstLine="284"/>
              <w:rPr>
                <w:rFonts w:asciiTheme="minorHAnsi" w:hAnsiTheme="minorHAnsi" w:cstheme="minorHAnsi"/>
                <w:sz w:val="22"/>
                <w:szCs w:val="22"/>
                <w:lang w:eastAsia="el-GR"/>
              </w:rPr>
            </w:pPr>
          </w:p>
        </w:tc>
        <w:tc>
          <w:tcPr>
            <w:tcW w:w="1132" w:type="dxa"/>
            <w:hideMark/>
          </w:tcPr>
          <w:p w14:paraId="36A40475" w14:textId="77777777" w:rsidR="00B64510" w:rsidRPr="00B64510" w:rsidRDefault="00B64510" w:rsidP="002D6DE2">
            <w:pPr>
              <w:suppressAutoHyphens w:val="0"/>
              <w:ind w:firstLine="284"/>
              <w:rPr>
                <w:rFonts w:asciiTheme="minorHAnsi" w:hAnsiTheme="minorHAnsi" w:cstheme="minorHAnsi"/>
                <w:sz w:val="22"/>
                <w:szCs w:val="22"/>
                <w:lang w:eastAsia="el-GR"/>
              </w:rPr>
            </w:pPr>
            <w:r w:rsidRPr="00B64510">
              <w:rPr>
                <w:rFonts w:asciiTheme="minorHAnsi" w:hAnsiTheme="minorHAnsi" w:cstheme="minorHAnsi"/>
                <w:sz w:val="22"/>
                <w:szCs w:val="22"/>
                <w:lang w:eastAsia="el-GR"/>
              </w:rPr>
              <w:t>7th</w:t>
            </w:r>
          </w:p>
        </w:tc>
        <w:tc>
          <w:tcPr>
            <w:tcW w:w="649" w:type="dxa"/>
            <w:hideMark/>
          </w:tcPr>
          <w:p w14:paraId="4D4BBB25" w14:textId="77777777" w:rsidR="00B64510" w:rsidRPr="00B64510" w:rsidRDefault="00B64510" w:rsidP="002D6DE2">
            <w:pPr>
              <w:suppressAutoHyphens w:val="0"/>
              <w:ind w:firstLine="284"/>
              <w:rPr>
                <w:rFonts w:asciiTheme="minorHAnsi" w:hAnsiTheme="minorHAnsi" w:cstheme="minorHAnsi"/>
                <w:sz w:val="22"/>
                <w:szCs w:val="22"/>
                <w:lang w:eastAsia="el-GR"/>
              </w:rPr>
            </w:pPr>
            <w:r w:rsidRPr="00B64510">
              <w:rPr>
                <w:rFonts w:asciiTheme="minorHAnsi" w:hAnsiTheme="minorHAnsi" w:cstheme="minorHAnsi"/>
                <w:sz w:val="22"/>
                <w:szCs w:val="22"/>
                <w:lang w:eastAsia="el-GR"/>
              </w:rPr>
              <w:t>2</w:t>
            </w:r>
          </w:p>
        </w:tc>
        <w:tc>
          <w:tcPr>
            <w:tcW w:w="1089" w:type="dxa"/>
            <w:hideMark/>
          </w:tcPr>
          <w:p w14:paraId="6D574E95" w14:textId="77777777" w:rsidR="00B64510" w:rsidRPr="00B64510" w:rsidRDefault="00B64510" w:rsidP="002D6DE2">
            <w:pPr>
              <w:suppressAutoHyphens w:val="0"/>
              <w:ind w:firstLine="284"/>
              <w:rPr>
                <w:rFonts w:asciiTheme="minorHAnsi" w:hAnsiTheme="minorHAnsi" w:cstheme="minorHAnsi"/>
                <w:sz w:val="22"/>
                <w:szCs w:val="22"/>
                <w:lang w:eastAsia="el-GR"/>
              </w:rPr>
            </w:pPr>
            <w:r w:rsidRPr="00B64510">
              <w:rPr>
                <w:rFonts w:asciiTheme="minorHAnsi" w:hAnsiTheme="minorHAnsi" w:cstheme="minorHAnsi"/>
                <w:sz w:val="22"/>
                <w:szCs w:val="22"/>
                <w:lang w:eastAsia="el-GR"/>
              </w:rPr>
              <w:t>0.9</w:t>
            </w:r>
          </w:p>
        </w:tc>
      </w:tr>
      <w:tr w:rsidR="00B64510" w:rsidRPr="00B64510" w14:paraId="7A556646" w14:textId="77777777" w:rsidTr="002D6DE2">
        <w:trPr>
          <w:tblCellSpacing w:w="15" w:type="dxa"/>
          <w:jc w:val="center"/>
        </w:trPr>
        <w:tc>
          <w:tcPr>
            <w:tcW w:w="2649" w:type="dxa"/>
            <w:hideMark/>
          </w:tcPr>
          <w:p w14:paraId="356F71DE" w14:textId="77777777" w:rsidR="00B64510" w:rsidRPr="00B64510" w:rsidRDefault="00B64510" w:rsidP="002D6DE2">
            <w:pPr>
              <w:suppressAutoHyphens w:val="0"/>
              <w:ind w:firstLine="284"/>
              <w:rPr>
                <w:rFonts w:asciiTheme="minorHAnsi" w:hAnsiTheme="minorHAnsi" w:cstheme="minorHAnsi"/>
                <w:sz w:val="22"/>
                <w:szCs w:val="22"/>
                <w:lang w:eastAsia="el-GR"/>
              </w:rPr>
            </w:pPr>
          </w:p>
        </w:tc>
        <w:tc>
          <w:tcPr>
            <w:tcW w:w="1132" w:type="dxa"/>
            <w:hideMark/>
          </w:tcPr>
          <w:p w14:paraId="0F701157" w14:textId="77777777" w:rsidR="00B64510" w:rsidRPr="00B64510" w:rsidRDefault="00B64510" w:rsidP="002D6DE2">
            <w:pPr>
              <w:suppressAutoHyphens w:val="0"/>
              <w:ind w:firstLine="284"/>
              <w:rPr>
                <w:rFonts w:asciiTheme="minorHAnsi" w:hAnsiTheme="minorHAnsi" w:cstheme="minorHAnsi"/>
                <w:sz w:val="22"/>
                <w:szCs w:val="22"/>
                <w:lang w:eastAsia="el-GR"/>
              </w:rPr>
            </w:pPr>
            <w:r w:rsidRPr="00B64510">
              <w:rPr>
                <w:rFonts w:asciiTheme="minorHAnsi" w:hAnsiTheme="minorHAnsi" w:cstheme="minorHAnsi"/>
                <w:sz w:val="22"/>
                <w:szCs w:val="22"/>
                <w:lang w:eastAsia="el-GR"/>
              </w:rPr>
              <w:t>8th</w:t>
            </w:r>
          </w:p>
        </w:tc>
        <w:tc>
          <w:tcPr>
            <w:tcW w:w="649" w:type="dxa"/>
            <w:hideMark/>
          </w:tcPr>
          <w:p w14:paraId="5955F937" w14:textId="77777777" w:rsidR="00B64510" w:rsidRPr="00B64510" w:rsidRDefault="00B64510" w:rsidP="002D6DE2">
            <w:pPr>
              <w:suppressAutoHyphens w:val="0"/>
              <w:ind w:firstLine="284"/>
              <w:rPr>
                <w:rFonts w:asciiTheme="minorHAnsi" w:hAnsiTheme="minorHAnsi" w:cstheme="minorHAnsi"/>
                <w:sz w:val="22"/>
                <w:szCs w:val="22"/>
                <w:lang w:eastAsia="el-GR"/>
              </w:rPr>
            </w:pPr>
            <w:r w:rsidRPr="00B64510">
              <w:rPr>
                <w:rFonts w:asciiTheme="minorHAnsi" w:hAnsiTheme="minorHAnsi" w:cstheme="minorHAnsi"/>
                <w:sz w:val="22"/>
                <w:szCs w:val="22"/>
                <w:lang w:eastAsia="el-GR"/>
              </w:rPr>
              <w:t>71</w:t>
            </w:r>
          </w:p>
        </w:tc>
        <w:tc>
          <w:tcPr>
            <w:tcW w:w="1089" w:type="dxa"/>
            <w:hideMark/>
          </w:tcPr>
          <w:p w14:paraId="52469F2D" w14:textId="77777777" w:rsidR="00B64510" w:rsidRPr="00B64510" w:rsidRDefault="00B64510" w:rsidP="002D6DE2">
            <w:pPr>
              <w:suppressAutoHyphens w:val="0"/>
              <w:ind w:firstLine="284"/>
              <w:rPr>
                <w:rFonts w:asciiTheme="minorHAnsi" w:hAnsiTheme="minorHAnsi" w:cstheme="minorHAnsi"/>
                <w:sz w:val="22"/>
                <w:szCs w:val="22"/>
                <w:lang w:eastAsia="el-GR"/>
              </w:rPr>
            </w:pPr>
            <w:r w:rsidRPr="00B64510">
              <w:rPr>
                <w:rFonts w:asciiTheme="minorHAnsi" w:hAnsiTheme="minorHAnsi" w:cstheme="minorHAnsi"/>
                <w:sz w:val="22"/>
                <w:szCs w:val="22"/>
                <w:lang w:eastAsia="el-GR"/>
              </w:rPr>
              <w:t>32.7</w:t>
            </w:r>
          </w:p>
        </w:tc>
      </w:tr>
      <w:tr w:rsidR="00B64510" w:rsidRPr="00B64510" w14:paraId="59AFEF00" w14:textId="77777777" w:rsidTr="003262E0">
        <w:trPr>
          <w:tblCellSpacing w:w="15" w:type="dxa"/>
          <w:jc w:val="center"/>
        </w:trPr>
        <w:tc>
          <w:tcPr>
            <w:tcW w:w="2649" w:type="dxa"/>
            <w:tcBorders>
              <w:bottom w:val="single" w:sz="8" w:space="0" w:color="auto"/>
            </w:tcBorders>
            <w:hideMark/>
          </w:tcPr>
          <w:p w14:paraId="39417EF8" w14:textId="77777777" w:rsidR="00B64510" w:rsidRPr="00B64510" w:rsidRDefault="00B64510" w:rsidP="002D6DE2">
            <w:pPr>
              <w:suppressAutoHyphens w:val="0"/>
              <w:ind w:firstLine="284"/>
              <w:rPr>
                <w:rFonts w:asciiTheme="minorHAnsi" w:hAnsiTheme="minorHAnsi" w:cstheme="minorHAnsi"/>
                <w:sz w:val="22"/>
                <w:szCs w:val="22"/>
                <w:lang w:eastAsia="el-GR"/>
              </w:rPr>
            </w:pPr>
          </w:p>
        </w:tc>
        <w:tc>
          <w:tcPr>
            <w:tcW w:w="1132" w:type="dxa"/>
            <w:tcBorders>
              <w:bottom w:val="single" w:sz="8" w:space="0" w:color="auto"/>
            </w:tcBorders>
            <w:hideMark/>
          </w:tcPr>
          <w:p w14:paraId="20B0CD88" w14:textId="77777777" w:rsidR="00B64510" w:rsidRPr="00B64510" w:rsidRDefault="00B64510" w:rsidP="002D6DE2">
            <w:pPr>
              <w:suppressAutoHyphens w:val="0"/>
              <w:ind w:firstLine="284"/>
              <w:rPr>
                <w:rFonts w:asciiTheme="minorHAnsi" w:hAnsiTheme="minorHAnsi" w:cstheme="minorHAnsi"/>
                <w:sz w:val="22"/>
                <w:szCs w:val="22"/>
                <w:lang w:eastAsia="el-GR"/>
              </w:rPr>
            </w:pPr>
            <w:r w:rsidRPr="00B64510">
              <w:rPr>
                <w:rFonts w:asciiTheme="minorHAnsi" w:hAnsiTheme="minorHAnsi" w:cstheme="minorHAnsi"/>
                <w:sz w:val="22"/>
                <w:szCs w:val="22"/>
                <w:lang w:eastAsia="el-GR"/>
              </w:rPr>
              <w:t>10th</w:t>
            </w:r>
          </w:p>
        </w:tc>
        <w:tc>
          <w:tcPr>
            <w:tcW w:w="649" w:type="dxa"/>
            <w:tcBorders>
              <w:bottom w:val="single" w:sz="8" w:space="0" w:color="auto"/>
            </w:tcBorders>
            <w:hideMark/>
          </w:tcPr>
          <w:p w14:paraId="39C9A14A" w14:textId="77777777" w:rsidR="00B64510" w:rsidRPr="00B64510" w:rsidRDefault="00B64510" w:rsidP="002D6DE2">
            <w:pPr>
              <w:suppressAutoHyphens w:val="0"/>
              <w:ind w:firstLine="284"/>
              <w:rPr>
                <w:rFonts w:asciiTheme="minorHAnsi" w:hAnsiTheme="minorHAnsi" w:cstheme="minorHAnsi"/>
                <w:sz w:val="22"/>
                <w:szCs w:val="22"/>
                <w:lang w:eastAsia="el-GR"/>
              </w:rPr>
            </w:pPr>
            <w:r w:rsidRPr="00B64510">
              <w:rPr>
                <w:rFonts w:asciiTheme="minorHAnsi" w:hAnsiTheme="minorHAnsi" w:cstheme="minorHAnsi"/>
                <w:sz w:val="22"/>
                <w:szCs w:val="22"/>
                <w:lang w:eastAsia="el-GR"/>
              </w:rPr>
              <w:t>4</w:t>
            </w:r>
          </w:p>
        </w:tc>
        <w:tc>
          <w:tcPr>
            <w:tcW w:w="1089" w:type="dxa"/>
            <w:tcBorders>
              <w:bottom w:val="single" w:sz="8" w:space="0" w:color="auto"/>
            </w:tcBorders>
            <w:hideMark/>
          </w:tcPr>
          <w:p w14:paraId="073D6748" w14:textId="77777777" w:rsidR="00B64510" w:rsidRPr="00B64510" w:rsidRDefault="00B64510" w:rsidP="002D6DE2">
            <w:pPr>
              <w:suppressAutoHyphens w:val="0"/>
              <w:ind w:firstLine="284"/>
              <w:rPr>
                <w:rFonts w:asciiTheme="minorHAnsi" w:hAnsiTheme="minorHAnsi" w:cstheme="minorHAnsi"/>
                <w:sz w:val="22"/>
                <w:szCs w:val="22"/>
                <w:lang w:eastAsia="el-GR"/>
              </w:rPr>
            </w:pPr>
            <w:r w:rsidRPr="00B64510">
              <w:rPr>
                <w:rFonts w:asciiTheme="minorHAnsi" w:hAnsiTheme="minorHAnsi" w:cstheme="minorHAnsi"/>
                <w:sz w:val="22"/>
                <w:szCs w:val="22"/>
                <w:lang w:eastAsia="el-GR"/>
              </w:rPr>
              <w:t>1.8</w:t>
            </w:r>
          </w:p>
        </w:tc>
      </w:tr>
    </w:tbl>
    <w:p w14:paraId="21A29867" w14:textId="77777777" w:rsidR="00837415" w:rsidRPr="00837415" w:rsidRDefault="00837415" w:rsidP="00837415">
      <w:pPr>
        <w:suppressAutoHyphens w:val="0"/>
        <w:ind w:firstLine="284"/>
        <w:jc w:val="both"/>
        <w:rPr>
          <w:rFonts w:asciiTheme="minorHAnsi" w:hAnsiTheme="minorHAnsi" w:cstheme="minorHAnsi"/>
          <w:sz w:val="22"/>
          <w:szCs w:val="22"/>
          <w:lang w:val="en-US" w:eastAsia="el-GR"/>
        </w:rPr>
      </w:pPr>
    </w:p>
    <w:p w14:paraId="4D70B588" w14:textId="5E91FCF8" w:rsidR="00B64510" w:rsidRPr="00B64510" w:rsidRDefault="00B64510" w:rsidP="00B64510">
      <w:pPr>
        <w:suppressAutoHyphens w:val="0"/>
        <w:spacing w:before="240"/>
        <w:ind w:firstLine="284"/>
        <w:outlineLvl w:val="2"/>
        <w:rPr>
          <w:rFonts w:asciiTheme="minorHAnsi" w:hAnsiTheme="minorHAnsi" w:cstheme="minorHAnsi"/>
          <w:bCs/>
          <w:i/>
          <w:sz w:val="22"/>
          <w:szCs w:val="22"/>
          <w:lang w:val="en-US" w:eastAsia="el-GR"/>
        </w:rPr>
      </w:pPr>
      <w:r w:rsidRPr="00B64510">
        <w:rPr>
          <w:rFonts w:asciiTheme="minorHAnsi" w:hAnsiTheme="minorHAnsi" w:cstheme="minorHAnsi"/>
          <w:bCs/>
          <w:i/>
          <w:sz w:val="22"/>
          <w:szCs w:val="22"/>
          <w:lang w:val="en-US" w:eastAsia="el-GR"/>
        </w:rPr>
        <w:t>Pre-service Teachers’ Perceptions of the Role and Significance of Supervision in the Practicum</w:t>
      </w:r>
    </w:p>
    <w:p w14:paraId="77F0F6C6" w14:textId="06FCC520" w:rsidR="00B64510" w:rsidRPr="00B64510" w:rsidRDefault="00B64510" w:rsidP="002D6DE2">
      <w:pPr>
        <w:suppressAutoHyphens w:val="0"/>
        <w:ind w:firstLine="284"/>
        <w:jc w:val="both"/>
        <w:rPr>
          <w:rFonts w:asciiTheme="minorHAnsi" w:hAnsiTheme="minorHAnsi" w:cstheme="minorHAnsi"/>
          <w:sz w:val="22"/>
          <w:szCs w:val="22"/>
          <w:lang w:val="en-US" w:eastAsia="el-GR"/>
        </w:rPr>
      </w:pPr>
      <w:r w:rsidRPr="00B64510">
        <w:rPr>
          <w:rFonts w:asciiTheme="minorHAnsi" w:hAnsiTheme="minorHAnsi" w:cstheme="minorHAnsi"/>
          <w:sz w:val="22"/>
          <w:szCs w:val="22"/>
          <w:lang w:val="en-US" w:eastAsia="el-GR"/>
        </w:rPr>
        <w:t xml:space="preserve">Regarding perceptions of the supervisory role, participants most frequently identified </w:t>
      </w:r>
      <w:r w:rsidRPr="00B64510">
        <w:rPr>
          <w:rFonts w:asciiTheme="minorHAnsi" w:hAnsiTheme="minorHAnsi" w:cstheme="minorHAnsi"/>
          <w:bCs/>
          <w:sz w:val="22"/>
          <w:szCs w:val="22"/>
          <w:lang w:val="en-US" w:eastAsia="el-GR"/>
        </w:rPr>
        <w:t>advisory support</w:t>
      </w:r>
      <w:r w:rsidRPr="00B64510">
        <w:rPr>
          <w:rFonts w:asciiTheme="minorHAnsi" w:hAnsiTheme="minorHAnsi" w:cstheme="minorHAnsi"/>
          <w:sz w:val="22"/>
          <w:szCs w:val="22"/>
          <w:lang w:val="en-US" w:eastAsia="el-GR"/>
        </w:rPr>
        <w:t xml:space="preserve"> (</w:t>
      </w:r>
      <w:r w:rsidRPr="00B64510">
        <w:rPr>
          <w:rFonts w:asciiTheme="minorHAnsi" w:hAnsiTheme="minorHAnsi" w:cstheme="minorHAnsi"/>
          <w:bCs/>
          <w:sz w:val="22"/>
          <w:szCs w:val="22"/>
          <w:lang w:val="en-US" w:eastAsia="el-GR"/>
        </w:rPr>
        <w:t>n = 161, 72.9%</w:t>
      </w:r>
      <w:r w:rsidRPr="00B64510">
        <w:rPr>
          <w:rFonts w:asciiTheme="minorHAnsi" w:hAnsiTheme="minorHAnsi" w:cstheme="minorHAnsi"/>
          <w:sz w:val="22"/>
          <w:szCs w:val="22"/>
          <w:lang w:val="en-US" w:eastAsia="el-GR"/>
        </w:rPr>
        <w:t xml:space="preserve">) and </w:t>
      </w:r>
      <w:r w:rsidRPr="00B64510">
        <w:rPr>
          <w:rFonts w:asciiTheme="minorHAnsi" w:hAnsiTheme="minorHAnsi" w:cstheme="minorHAnsi"/>
          <w:bCs/>
          <w:sz w:val="22"/>
          <w:szCs w:val="22"/>
          <w:lang w:val="en-US" w:eastAsia="el-GR"/>
        </w:rPr>
        <w:t>pedagogical guidance</w:t>
      </w:r>
      <w:r w:rsidRPr="00B64510">
        <w:rPr>
          <w:rFonts w:asciiTheme="minorHAnsi" w:hAnsiTheme="minorHAnsi" w:cstheme="minorHAnsi"/>
          <w:sz w:val="22"/>
          <w:szCs w:val="22"/>
          <w:lang w:val="en-US" w:eastAsia="el-GR"/>
        </w:rPr>
        <w:t xml:space="preserve"> (</w:t>
      </w:r>
      <w:r w:rsidRPr="00B64510">
        <w:rPr>
          <w:rFonts w:asciiTheme="minorHAnsi" w:hAnsiTheme="minorHAnsi" w:cstheme="minorHAnsi"/>
          <w:bCs/>
          <w:sz w:val="22"/>
          <w:szCs w:val="22"/>
          <w:lang w:val="en-US" w:eastAsia="el-GR"/>
        </w:rPr>
        <w:t>n = 141, 63.8%</w:t>
      </w:r>
      <w:r w:rsidRPr="00B64510">
        <w:rPr>
          <w:rFonts w:asciiTheme="minorHAnsi" w:hAnsiTheme="minorHAnsi" w:cstheme="minorHAnsi"/>
          <w:sz w:val="22"/>
          <w:szCs w:val="22"/>
          <w:lang w:val="en-US" w:eastAsia="el-GR"/>
        </w:rPr>
        <w:t xml:space="preserve">) as core functions of supervision. Dimensions related to </w:t>
      </w:r>
      <w:r w:rsidRPr="00B64510">
        <w:rPr>
          <w:rFonts w:asciiTheme="minorHAnsi" w:hAnsiTheme="minorHAnsi" w:cstheme="minorHAnsi"/>
          <w:bCs/>
          <w:sz w:val="22"/>
          <w:szCs w:val="22"/>
          <w:lang w:val="en-US" w:eastAsia="el-GR"/>
        </w:rPr>
        <w:t>material or other forms of support</w:t>
      </w:r>
      <w:r w:rsidRPr="00B64510">
        <w:rPr>
          <w:rFonts w:asciiTheme="minorHAnsi" w:hAnsiTheme="minorHAnsi" w:cstheme="minorHAnsi"/>
          <w:sz w:val="22"/>
          <w:szCs w:val="22"/>
          <w:lang w:val="en-US" w:eastAsia="el-GR"/>
        </w:rPr>
        <w:t xml:space="preserve"> (</w:t>
      </w:r>
      <w:r w:rsidRPr="00B64510">
        <w:rPr>
          <w:rFonts w:asciiTheme="minorHAnsi" w:hAnsiTheme="minorHAnsi" w:cstheme="minorHAnsi"/>
          <w:bCs/>
          <w:sz w:val="22"/>
          <w:szCs w:val="22"/>
          <w:lang w:val="en-US" w:eastAsia="el-GR"/>
        </w:rPr>
        <w:t>n = 83, 37.6%</w:t>
      </w:r>
      <w:r w:rsidRPr="00B64510">
        <w:rPr>
          <w:rFonts w:asciiTheme="minorHAnsi" w:hAnsiTheme="minorHAnsi" w:cstheme="minorHAnsi"/>
          <w:sz w:val="22"/>
          <w:szCs w:val="22"/>
          <w:lang w:val="en-US" w:eastAsia="el-GR"/>
        </w:rPr>
        <w:t xml:space="preserve">) and </w:t>
      </w:r>
      <w:r w:rsidRPr="00B64510">
        <w:rPr>
          <w:rFonts w:asciiTheme="minorHAnsi" w:hAnsiTheme="minorHAnsi" w:cstheme="minorHAnsi"/>
          <w:bCs/>
          <w:sz w:val="22"/>
          <w:szCs w:val="22"/>
          <w:lang w:val="en-US" w:eastAsia="el-GR"/>
        </w:rPr>
        <w:t>emotional/psychological support</w:t>
      </w:r>
      <w:r w:rsidRPr="00B64510">
        <w:rPr>
          <w:rFonts w:asciiTheme="minorHAnsi" w:hAnsiTheme="minorHAnsi" w:cstheme="minorHAnsi"/>
          <w:sz w:val="22"/>
          <w:szCs w:val="22"/>
          <w:lang w:val="en-US" w:eastAsia="el-GR"/>
        </w:rPr>
        <w:t xml:space="preserve"> (</w:t>
      </w:r>
      <w:r w:rsidRPr="00B64510">
        <w:rPr>
          <w:rFonts w:asciiTheme="minorHAnsi" w:hAnsiTheme="minorHAnsi" w:cstheme="minorHAnsi"/>
          <w:bCs/>
          <w:sz w:val="22"/>
          <w:szCs w:val="22"/>
          <w:lang w:val="en-US" w:eastAsia="el-GR"/>
        </w:rPr>
        <w:t>n = 76, 34.4%</w:t>
      </w:r>
      <w:r w:rsidRPr="00B64510">
        <w:rPr>
          <w:rFonts w:asciiTheme="minorHAnsi" w:hAnsiTheme="minorHAnsi" w:cstheme="minorHAnsi"/>
          <w:sz w:val="22"/>
          <w:szCs w:val="22"/>
          <w:lang w:val="en-US" w:eastAsia="el-GR"/>
        </w:rPr>
        <w:t>) were also considered important, though less central.</w:t>
      </w:r>
    </w:p>
    <w:p w14:paraId="2D663F59" w14:textId="0AC22177" w:rsidR="00B64510" w:rsidRPr="00B64510" w:rsidRDefault="00B64510" w:rsidP="002D6DE2">
      <w:pPr>
        <w:suppressAutoHyphens w:val="0"/>
        <w:ind w:firstLine="284"/>
        <w:jc w:val="both"/>
        <w:rPr>
          <w:rFonts w:asciiTheme="minorHAnsi" w:hAnsiTheme="minorHAnsi" w:cstheme="minorHAnsi"/>
          <w:sz w:val="22"/>
          <w:szCs w:val="22"/>
          <w:lang w:val="en-US" w:eastAsia="el-GR"/>
        </w:rPr>
      </w:pPr>
      <w:r w:rsidRPr="00B64510">
        <w:rPr>
          <w:rFonts w:asciiTheme="minorHAnsi" w:hAnsiTheme="minorHAnsi" w:cstheme="minorHAnsi"/>
          <w:sz w:val="22"/>
          <w:szCs w:val="22"/>
          <w:lang w:val="en-US" w:eastAsia="el-GR"/>
        </w:rPr>
        <w:t xml:space="preserve">Qualitative data corroborated this pattern. Analysis of responses to the open-ended question on the importance of supervision revealed that the supervisor’s role was primarily </w:t>
      </w:r>
      <w:r w:rsidR="003262E0" w:rsidRPr="00B64510">
        <w:rPr>
          <w:rFonts w:asciiTheme="minorHAnsi" w:hAnsiTheme="minorHAnsi" w:cstheme="minorHAnsi"/>
          <w:sz w:val="22"/>
          <w:szCs w:val="22"/>
          <w:lang w:val="en-US" w:eastAsia="el-GR"/>
        </w:rPr>
        <w:t>conceptualized</w:t>
      </w:r>
      <w:r w:rsidRPr="00B64510">
        <w:rPr>
          <w:rFonts w:asciiTheme="minorHAnsi" w:hAnsiTheme="minorHAnsi" w:cstheme="minorHAnsi"/>
          <w:sz w:val="22"/>
          <w:szCs w:val="22"/>
          <w:lang w:val="en-US" w:eastAsia="el-GR"/>
        </w:rPr>
        <w:t xml:space="preserve"> as </w:t>
      </w:r>
      <w:r w:rsidRPr="00B64510">
        <w:rPr>
          <w:rFonts w:asciiTheme="minorHAnsi" w:hAnsiTheme="minorHAnsi" w:cstheme="minorHAnsi"/>
          <w:bCs/>
          <w:sz w:val="22"/>
          <w:szCs w:val="22"/>
          <w:lang w:val="en-US" w:eastAsia="el-GR"/>
        </w:rPr>
        <w:t>guidance and counselling</w:t>
      </w:r>
      <w:r w:rsidRPr="00B64510">
        <w:rPr>
          <w:rFonts w:asciiTheme="minorHAnsi" w:hAnsiTheme="minorHAnsi" w:cstheme="minorHAnsi"/>
          <w:sz w:val="22"/>
          <w:szCs w:val="22"/>
          <w:lang w:val="en-US" w:eastAsia="el-GR"/>
        </w:rPr>
        <w:t>, with an emphasis on supporting students throughout the practicum. Participants referred to the supervisor as someone who “</w:t>
      </w:r>
      <w:r w:rsidRPr="000C6ABC">
        <w:rPr>
          <w:rFonts w:asciiTheme="minorHAnsi" w:hAnsiTheme="minorHAnsi" w:cstheme="minorHAnsi"/>
          <w:iCs/>
          <w:sz w:val="22"/>
          <w:szCs w:val="22"/>
          <w:lang w:val="en-US" w:eastAsia="el-GR"/>
        </w:rPr>
        <w:t>guides the student appropriately</w:t>
      </w:r>
      <w:r w:rsidRPr="00B64510">
        <w:rPr>
          <w:rFonts w:asciiTheme="minorHAnsi" w:hAnsiTheme="minorHAnsi" w:cstheme="minorHAnsi"/>
          <w:sz w:val="22"/>
          <w:szCs w:val="22"/>
          <w:lang w:val="en-US" w:eastAsia="el-GR"/>
        </w:rPr>
        <w:t>” (P9) and “</w:t>
      </w:r>
      <w:r w:rsidRPr="000C6ABC">
        <w:rPr>
          <w:rFonts w:asciiTheme="minorHAnsi" w:hAnsiTheme="minorHAnsi" w:cstheme="minorHAnsi"/>
          <w:iCs/>
          <w:sz w:val="22"/>
          <w:szCs w:val="22"/>
          <w:lang w:val="en-US" w:eastAsia="el-GR"/>
        </w:rPr>
        <w:t>advises students and suggests solutions to possible problems</w:t>
      </w:r>
      <w:r w:rsidRPr="00B64510">
        <w:rPr>
          <w:rFonts w:asciiTheme="minorHAnsi" w:hAnsiTheme="minorHAnsi" w:cstheme="minorHAnsi"/>
          <w:sz w:val="22"/>
          <w:szCs w:val="22"/>
          <w:lang w:val="en-US" w:eastAsia="el-GR"/>
        </w:rPr>
        <w:t>” (P16).</w:t>
      </w:r>
    </w:p>
    <w:p w14:paraId="46990BD4" w14:textId="77777777" w:rsidR="00B64510" w:rsidRPr="00B64510" w:rsidRDefault="00B64510" w:rsidP="002D6DE2">
      <w:pPr>
        <w:suppressAutoHyphens w:val="0"/>
        <w:ind w:firstLine="284"/>
        <w:jc w:val="both"/>
        <w:rPr>
          <w:rFonts w:asciiTheme="minorHAnsi" w:hAnsiTheme="minorHAnsi" w:cstheme="minorHAnsi"/>
          <w:sz w:val="22"/>
          <w:szCs w:val="22"/>
          <w:lang w:val="en-US" w:eastAsia="el-GR"/>
        </w:rPr>
      </w:pPr>
      <w:r w:rsidRPr="00B64510">
        <w:rPr>
          <w:rFonts w:asciiTheme="minorHAnsi" w:hAnsiTheme="minorHAnsi" w:cstheme="minorHAnsi"/>
          <w:bCs/>
          <w:sz w:val="22"/>
          <w:szCs w:val="22"/>
          <w:lang w:val="en-US" w:eastAsia="el-GR"/>
        </w:rPr>
        <w:t>Feedback and improvement</w:t>
      </w:r>
      <w:r w:rsidRPr="00B64510">
        <w:rPr>
          <w:rFonts w:asciiTheme="minorHAnsi" w:hAnsiTheme="minorHAnsi" w:cstheme="minorHAnsi"/>
          <w:sz w:val="22"/>
          <w:szCs w:val="22"/>
          <w:lang w:val="en-US" w:eastAsia="el-GR"/>
        </w:rPr>
        <w:t xml:space="preserve"> also emerged as a salient theme, with supervision described as important “</w:t>
      </w:r>
      <w:r w:rsidRPr="000C6ABC">
        <w:rPr>
          <w:rFonts w:asciiTheme="minorHAnsi" w:hAnsiTheme="minorHAnsi" w:cstheme="minorHAnsi"/>
          <w:iCs/>
          <w:sz w:val="22"/>
          <w:szCs w:val="22"/>
          <w:lang w:val="en-US" w:eastAsia="el-GR"/>
        </w:rPr>
        <w:t>for the practicum as well as for feedback</w:t>
      </w:r>
      <w:r w:rsidRPr="00B64510">
        <w:rPr>
          <w:rFonts w:asciiTheme="minorHAnsi" w:hAnsiTheme="minorHAnsi" w:cstheme="minorHAnsi"/>
          <w:sz w:val="22"/>
          <w:szCs w:val="22"/>
          <w:lang w:val="en-US" w:eastAsia="el-GR"/>
        </w:rPr>
        <w:t>” (P47) and for the “</w:t>
      </w:r>
      <w:r w:rsidRPr="000C6ABC">
        <w:rPr>
          <w:rFonts w:asciiTheme="minorHAnsi" w:hAnsiTheme="minorHAnsi" w:cstheme="minorHAnsi"/>
          <w:iCs/>
          <w:sz w:val="22"/>
          <w:szCs w:val="22"/>
          <w:lang w:val="en-US" w:eastAsia="el-GR"/>
        </w:rPr>
        <w:t>correction of mistakes</w:t>
      </w:r>
      <w:r w:rsidRPr="00B64510">
        <w:rPr>
          <w:rFonts w:asciiTheme="minorHAnsi" w:hAnsiTheme="minorHAnsi" w:cstheme="minorHAnsi"/>
          <w:sz w:val="22"/>
          <w:szCs w:val="22"/>
          <w:lang w:val="en-US" w:eastAsia="el-GR"/>
        </w:rPr>
        <w:t>” (P93).</w:t>
      </w:r>
    </w:p>
    <w:p w14:paraId="78679D54" w14:textId="77777777" w:rsidR="00B64510" w:rsidRPr="00B64510" w:rsidRDefault="00B64510" w:rsidP="002D6DE2">
      <w:pPr>
        <w:suppressAutoHyphens w:val="0"/>
        <w:ind w:firstLine="284"/>
        <w:jc w:val="both"/>
        <w:rPr>
          <w:rFonts w:asciiTheme="minorHAnsi" w:hAnsiTheme="minorHAnsi" w:cstheme="minorHAnsi"/>
          <w:sz w:val="22"/>
          <w:szCs w:val="22"/>
          <w:lang w:val="en-US" w:eastAsia="el-GR"/>
        </w:rPr>
      </w:pPr>
      <w:r w:rsidRPr="00B64510">
        <w:rPr>
          <w:rFonts w:asciiTheme="minorHAnsi" w:hAnsiTheme="minorHAnsi" w:cstheme="minorHAnsi"/>
          <w:sz w:val="22"/>
          <w:szCs w:val="22"/>
          <w:lang w:val="en-US" w:eastAsia="el-GR"/>
        </w:rPr>
        <w:t xml:space="preserve">In addition, several responses linked the significance of supervision to the provision of </w:t>
      </w:r>
      <w:r w:rsidRPr="00B64510">
        <w:rPr>
          <w:rFonts w:asciiTheme="minorHAnsi" w:hAnsiTheme="minorHAnsi" w:cstheme="minorHAnsi"/>
          <w:bCs/>
          <w:sz w:val="22"/>
          <w:szCs w:val="22"/>
          <w:lang w:val="en-US" w:eastAsia="el-GR"/>
        </w:rPr>
        <w:t>emotional safety and support</w:t>
      </w:r>
      <w:r w:rsidRPr="00B64510">
        <w:rPr>
          <w:rFonts w:asciiTheme="minorHAnsi" w:hAnsiTheme="minorHAnsi" w:cstheme="minorHAnsi"/>
          <w:sz w:val="22"/>
          <w:szCs w:val="22"/>
          <w:lang w:val="en-US" w:eastAsia="el-GR"/>
        </w:rPr>
        <w:t>. Participants noted that they “</w:t>
      </w:r>
      <w:r w:rsidRPr="000C6ABC">
        <w:rPr>
          <w:rFonts w:asciiTheme="minorHAnsi" w:hAnsiTheme="minorHAnsi" w:cstheme="minorHAnsi"/>
          <w:iCs/>
          <w:sz w:val="22"/>
          <w:szCs w:val="22"/>
          <w:lang w:val="en-US" w:eastAsia="el-GR"/>
        </w:rPr>
        <w:t>feel a sense of security when under the supervision of a supervisor</w:t>
      </w:r>
      <w:r w:rsidRPr="00B64510">
        <w:rPr>
          <w:rFonts w:asciiTheme="minorHAnsi" w:hAnsiTheme="minorHAnsi" w:cstheme="minorHAnsi"/>
          <w:sz w:val="22"/>
          <w:szCs w:val="22"/>
          <w:lang w:val="en-US" w:eastAsia="el-GR"/>
        </w:rPr>
        <w:t xml:space="preserve">” (P13) and highlighted the importance of psychological and counselling support (P59). Finally, supervision was also described as a mechanism for </w:t>
      </w:r>
      <w:r w:rsidRPr="000C6ABC">
        <w:rPr>
          <w:rFonts w:asciiTheme="minorHAnsi" w:hAnsiTheme="minorHAnsi" w:cstheme="minorHAnsi"/>
          <w:bCs/>
          <w:sz w:val="22"/>
          <w:szCs w:val="22"/>
          <w:lang w:val="en-US" w:eastAsia="el-GR"/>
        </w:rPr>
        <w:t>linking theory to practice</w:t>
      </w:r>
      <w:r w:rsidRPr="00B64510">
        <w:rPr>
          <w:rFonts w:asciiTheme="minorHAnsi" w:hAnsiTheme="minorHAnsi" w:cstheme="minorHAnsi"/>
          <w:sz w:val="22"/>
          <w:szCs w:val="22"/>
          <w:lang w:val="en-US" w:eastAsia="el-GR"/>
        </w:rPr>
        <w:t>, with students stating that the supervisor “</w:t>
      </w:r>
      <w:r w:rsidRPr="000C6ABC">
        <w:rPr>
          <w:rFonts w:asciiTheme="minorHAnsi" w:hAnsiTheme="minorHAnsi" w:cstheme="minorHAnsi"/>
          <w:iCs/>
          <w:sz w:val="22"/>
          <w:szCs w:val="22"/>
          <w:lang w:val="en-US" w:eastAsia="el-GR"/>
        </w:rPr>
        <w:t>helps theoretical knowledge to be put into practice</w:t>
      </w:r>
      <w:r w:rsidRPr="00B64510">
        <w:rPr>
          <w:rFonts w:asciiTheme="minorHAnsi" w:hAnsiTheme="minorHAnsi" w:cstheme="minorHAnsi"/>
          <w:sz w:val="22"/>
          <w:szCs w:val="22"/>
          <w:lang w:val="en-US" w:eastAsia="el-GR"/>
        </w:rPr>
        <w:t>” (P22).</w:t>
      </w:r>
    </w:p>
    <w:p w14:paraId="3A0B8D23" w14:textId="77777777" w:rsidR="00B64510" w:rsidRPr="00B64510" w:rsidRDefault="00B64510" w:rsidP="002D6DE2">
      <w:pPr>
        <w:suppressAutoHyphens w:val="0"/>
        <w:spacing w:before="240"/>
        <w:ind w:firstLine="284"/>
        <w:outlineLvl w:val="2"/>
        <w:rPr>
          <w:rFonts w:asciiTheme="minorHAnsi" w:hAnsiTheme="minorHAnsi" w:cstheme="minorHAnsi"/>
          <w:bCs/>
          <w:i/>
          <w:sz w:val="22"/>
          <w:szCs w:val="22"/>
          <w:lang w:val="en-US" w:eastAsia="el-GR"/>
        </w:rPr>
      </w:pPr>
      <w:r w:rsidRPr="00B64510">
        <w:rPr>
          <w:rFonts w:asciiTheme="minorHAnsi" w:hAnsiTheme="minorHAnsi" w:cstheme="minorHAnsi"/>
          <w:bCs/>
          <w:i/>
          <w:sz w:val="22"/>
          <w:szCs w:val="22"/>
          <w:lang w:val="en-US" w:eastAsia="el-GR"/>
        </w:rPr>
        <w:t xml:space="preserve">Characteristics, Forms of Collaboration, and Supervisory Practices of an Effective Supervision Model </w:t>
      </w:r>
    </w:p>
    <w:p w14:paraId="3E238E98" w14:textId="0F6C791C" w:rsidR="000C6ABC" w:rsidRPr="00B64510" w:rsidRDefault="00B64510" w:rsidP="000C6ABC">
      <w:pPr>
        <w:suppressAutoHyphens w:val="0"/>
        <w:ind w:firstLine="284"/>
        <w:jc w:val="both"/>
        <w:rPr>
          <w:rFonts w:asciiTheme="minorHAnsi" w:hAnsiTheme="minorHAnsi" w:cstheme="minorHAnsi"/>
          <w:bCs/>
          <w:sz w:val="22"/>
          <w:szCs w:val="22"/>
          <w:lang w:val="en-US" w:eastAsia="el-GR"/>
        </w:rPr>
      </w:pPr>
      <w:r w:rsidRPr="00B64510">
        <w:rPr>
          <w:rFonts w:asciiTheme="minorHAnsi" w:hAnsiTheme="minorHAnsi" w:cstheme="minorHAnsi"/>
          <w:bCs/>
          <w:sz w:val="22"/>
          <w:szCs w:val="22"/>
          <w:lang w:val="en-US" w:eastAsia="el-GR"/>
        </w:rPr>
        <w:t>With regard to supervisor characteristics, the highest mean importance rating was attributed to teaching experience in early childhood education. This was followed by relevance to</w:t>
      </w:r>
      <w:r w:rsidRPr="00B64510">
        <w:rPr>
          <w:rFonts w:asciiTheme="minorHAnsi" w:hAnsiTheme="minorHAnsi" w:cstheme="minorHAnsi"/>
          <w:sz w:val="22"/>
          <w:szCs w:val="22"/>
          <w:lang w:val="en-US" w:eastAsia="el-GR"/>
        </w:rPr>
        <w:t xml:space="preserve"> the subject of study </w:t>
      </w:r>
      <w:r w:rsidRPr="00B64510">
        <w:rPr>
          <w:rFonts w:asciiTheme="minorHAnsi" w:hAnsiTheme="minorHAnsi" w:cstheme="minorHAnsi"/>
          <w:bCs/>
          <w:sz w:val="22"/>
          <w:szCs w:val="22"/>
          <w:lang w:val="en-US" w:eastAsia="el-GR"/>
        </w:rPr>
        <w:t xml:space="preserve">and </w:t>
      </w:r>
      <w:r w:rsidRPr="002D6DE2">
        <w:rPr>
          <w:rFonts w:asciiTheme="minorHAnsi" w:hAnsiTheme="minorHAnsi" w:cstheme="minorHAnsi"/>
          <w:sz w:val="22"/>
          <w:szCs w:val="22"/>
          <w:lang w:val="en-US" w:eastAsia="el-GR"/>
        </w:rPr>
        <w:t>scientific/academic training</w:t>
      </w:r>
      <w:r w:rsidRPr="00B64510">
        <w:rPr>
          <w:rFonts w:asciiTheme="minorHAnsi" w:hAnsiTheme="minorHAnsi" w:cstheme="minorHAnsi"/>
          <w:bCs/>
          <w:sz w:val="22"/>
          <w:szCs w:val="22"/>
          <w:lang w:val="en-US" w:eastAsia="el-GR"/>
        </w:rPr>
        <w:t xml:space="preserve">. </w:t>
      </w:r>
      <w:r w:rsidRPr="002D6DE2">
        <w:rPr>
          <w:rFonts w:asciiTheme="minorHAnsi" w:hAnsiTheme="minorHAnsi" w:cstheme="minorHAnsi"/>
          <w:sz w:val="22"/>
          <w:szCs w:val="22"/>
          <w:lang w:val="en-US" w:eastAsia="el-GR"/>
        </w:rPr>
        <w:t>Specialization in a specific subject area</w:t>
      </w:r>
      <w:r w:rsidRPr="00B64510">
        <w:rPr>
          <w:rFonts w:asciiTheme="minorHAnsi" w:hAnsiTheme="minorHAnsi" w:cstheme="minorHAnsi"/>
          <w:bCs/>
          <w:sz w:val="22"/>
          <w:szCs w:val="22"/>
          <w:lang w:val="en-US" w:eastAsia="el-GR"/>
        </w:rPr>
        <w:t xml:space="preserve"> received a comparatively lower mean score (Table </w:t>
      </w:r>
      <w:r w:rsidR="002D6DE2">
        <w:rPr>
          <w:rFonts w:asciiTheme="minorHAnsi" w:hAnsiTheme="minorHAnsi" w:cstheme="minorHAnsi"/>
          <w:bCs/>
          <w:sz w:val="22"/>
          <w:szCs w:val="22"/>
          <w:lang w:val="en-US" w:eastAsia="el-GR"/>
        </w:rPr>
        <w:t>2</w:t>
      </w:r>
      <w:r w:rsidRPr="00B64510">
        <w:rPr>
          <w:rFonts w:asciiTheme="minorHAnsi" w:hAnsiTheme="minorHAnsi" w:cstheme="minorHAnsi"/>
          <w:bCs/>
          <w:sz w:val="22"/>
          <w:szCs w:val="22"/>
          <w:lang w:val="en-US" w:eastAsia="el-GR"/>
        </w:rPr>
        <w:t>).</w:t>
      </w:r>
    </w:p>
    <w:p w14:paraId="6BF41754" w14:textId="3CD70284" w:rsidR="00B64510" w:rsidRPr="00082C48" w:rsidRDefault="00B64510" w:rsidP="000C6ABC">
      <w:pPr>
        <w:suppressAutoHyphens w:val="0"/>
        <w:spacing w:before="240"/>
        <w:ind w:firstLine="284"/>
        <w:jc w:val="center"/>
        <w:rPr>
          <w:rFonts w:asciiTheme="minorHAnsi" w:eastAsiaTheme="majorEastAsia" w:hAnsiTheme="minorHAnsi" w:cstheme="minorHAnsi"/>
          <w:b/>
          <w:bCs/>
          <w:sz w:val="22"/>
          <w:szCs w:val="22"/>
          <w:lang w:val="en-US" w:eastAsia="el-GR"/>
        </w:rPr>
      </w:pPr>
      <w:r w:rsidRPr="00082C48">
        <w:rPr>
          <w:rFonts w:asciiTheme="minorHAnsi" w:eastAsiaTheme="majorEastAsia" w:hAnsiTheme="minorHAnsi" w:cstheme="minorHAnsi"/>
          <w:b/>
          <w:bCs/>
          <w:sz w:val="22"/>
          <w:szCs w:val="22"/>
          <w:lang w:val="en-US" w:eastAsia="el-GR"/>
        </w:rPr>
        <w:t xml:space="preserve">Table </w:t>
      </w:r>
      <w:r w:rsidR="002D6DE2" w:rsidRPr="00082C48">
        <w:rPr>
          <w:rFonts w:asciiTheme="minorHAnsi" w:eastAsiaTheme="majorEastAsia" w:hAnsiTheme="minorHAnsi" w:cstheme="minorHAnsi"/>
          <w:b/>
          <w:bCs/>
          <w:sz w:val="22"/>
          <w:szCs w:val="22"/>
          <w:lang w:val="en-US" w:eastAsia="el-GR"/>
        </w:rPr>
        <w:t>2</w:t>
      </w:r>
      <w:r w:rsidRPr="00082C48">
        <w:rPr>
          <w:rFonts w:asciiTheme="minorHAnsi" w:eastAsiaTheme="majorEastAsia" w:hAnsiTheme="minorHAnsi" w:cstheme="minorHAnsi"/>
          <w:b/>
          <w:bCs/>
          <w:sz w:val="22"/>
          <w:szCs w:val="22"/>
          <w:lang w:val="en-US" w:eastAsia="el-GR"/>
        </w:rPr>
        <w:t>. Importance of supervisor characteristics (1–5 scale)</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283"/>
        <w:gridCol w:w="977"/>
        <w:gridCol w:w="735"/>
        <w:gridCol w:w="750"/>
      </w:tblGrid>
      <w:tr w:rsidR="00B64510" w:rsidRPr="00B64510" w14:paraId="4E5F9AED" w14:textId="77777777" w:rsidTr="003262E0">
        <w:trPr>
          <w:tblHeader/>
          <w:tblCellSpacing w:w="15" w:type="dxa"/>
          <w:jc w:val="center"/>
        </w:trPr>
        <w:tc>
          <w:tcPr>
            <w:tcW w:w="0" w:type="auto"/>
            <w:tcBorders>
              <w:top w:val="single" w:sz="8" w:space="0" w:color="auto"/>
              <w:bottom w:val="single" w:sz="8" w:space="0" w:color="auto"/>
            </w:tcBorders>
            <w:hideMark/>
          </w:tcPr>
          <w:p w14:paraId="0E2FD1CD" w14:textId="77777777" w:rsidR="00B64510" w:rsidRPr="00B64510" w:rsidRDefault="00B64510" w:rsidP="002D6DE2">
            <w:pPr>
              <w:suppressAutoHyphens w:val="0"/>
              <w:ind w:firstLine="284"/>
              <w:rPr>
                <w:rFonts w:asciiTheme="minorHAnsi" w:eastAsiaTheme="minorHAnsi" w:hAnsiTheme="minorHAnsi" w:cstheme="minorHAnsi"/>
                <w:b/>
                <w:bCs/>
                <w:sz w:val="22"/>
                <w:szCs w:val="22"/>
                <w:lang w:eastAsia="en-US"/>
              </w:rPr>
            </w:pPr>
            <w:proofErr w:type="spellStart"/>
            <w:r w:rsidRPr="00B64510">
              <w:rPr>
                <w:rFonts w:asciiTheme="minorHAnsi" w:eastAsiaTheme="minorHAnsi" w:hAnsiTheme="minorHAnsi" w:cstheme="minorHAnsi"/>
                <w:b/>
                <w:bCs/>
                <w:sz w:val="22"/>
                <w:szCs w:val="22"/>
                <w:lang w:eastAsia="en-US"/>
              </w:rPr>
              <w:lastRenderedPageBreak/>
              <w:t>Characteristic</w:t>
            </w:r>
            <w:proofErr w:type="spellEnd"/>
          </w:p>
        </w:tc>
        <w:tc>
          <w:tcPr>
            <w:tcW w:w="0" w:type="auto"/>
            <w:tcBorders>
              <w:top w:val="single" w:sz="8" w:space="0" w:color="auto"/>
              <w:bottom w:val="single" w:sz="8" w:space="0" w:color="auto"/>
            </w:tcBorders>
            <w:hideMark/>
          </w:tcPr>
          <w:p w14:paraId="5B9068AF" w14:textId="77777777" w:rsidR="00B64510" w:rsidRPr="00B64510" w:rsidRDefault="00B64510" w:rsidP="002D6DE2">
            <w:pPr>
              <w:suppressAutoHyphens w:val="0"/>
              <w:ind w:firstLine="284"/>
              <w:rPr>
                <w:rFonts w:asciiTheme="minorHAnsi" w:eastAsiaTheme="minorHAnsi" w:hAnsiTheme="minorHAnsi" w:cstheme="minorHAnsi"/>
                <w:b/>
                <w:bCs/>
                <w:sz w:val="22"/>
                <w:szCs w:val="22"/>
                <w:lang w:eastAsia="en-US"/>
              </w:rPr>
            </w:pPr>
            <w:proofErr w:type="spellStart"/>
            <w:r w:rsidRPr="00B64510">
              <w:rPr>
                <w:rFonts w:asciiTheme="minorHAnsi" w:eastAsiaTheme="minorHAnsi" w:hAnsiTheme="minorHAnsi" w:cstheme="minorHAnsi"/>
                <w:b/>
                <w:bCs/>
                <w:sz w:val="22"/>
                <w:szCs w:val="22"/>
                <w:lang w:eastAsia="en-US"/>
              </w:rPr>
              <w:t>Valid</w:t>
            </w:r>
            <w:proofErr w:type="spellEnd"/>
            <w:r w:rsidRPr="00B64510">
              <w:rPr>
                <w:rFonts w:asciiTheme="minorHAnsi" w:eastAsiaTheme="minorHAnsi" w:hAnsiTheme="minorHAnsi" w:cstheme="minorHAnsi"/>
                <w:b/>
                <w:bCs/>
                <w:sz w:val="22"/>
                <w:szCs w:val="22"/>
                <w:lang w:eastAsia="en-US"/>
              </w:rPr>
              <w:t xml:space="preserve"> n</w:t>
            </w:r>
          </w:p>
        </w:tc>
        <w:tc>
          <w:tcPr>
            <w:tcW w:w="0" w:type="auto"/>
            <w:tcBorders>
              <w:top w:val="single" w:sz="8" w:space="0" w:color="auto"/>
              <w:bottom w:val="single" w:sz="8" w:space="0" w:color="auto"/>
            </w:tcBorders>
            <w:hideMark/>
          </w:tcPr>
          <w:p w14:paraId="4E0CD8CA" w14:textId="77777777" w:rsidR="00B64510" w:rsidRPr="00B64510" w:rsidRDefault="00B64510" w:rsidP="002D6DE2">
            <w:pPr>
              <w:suppressAutoHyphens w:val="0"/>
              <w:ind w:firstLine="284"/>
              <w:rPr>
                <w:rFonts w:asciiTheme="minorHAnsi" w:eastAsiaTheme="minorHAnsi" w:hAnsiTheme="minorHAnsi" w:cstheme="minorHAnsi"/>
                <w:b/>
                <w:bCs/>
                <w:sz w:val="22"/>
                <w:szCs w:val="22"/>
                <w:lang w:eastAsia="en-US"/>
              </w:rPr>
            </w:pPr>
            <w:r w:rsidRPr="00B64510">
              <w:rPr>
                <w:rFonts w:asciiTheme="minorHAnsi" w:eastAsiaTheme="minorHAnsi" w:hAnsiTheme="minorHAnsi" w:cstheme="minorHAnsi"/>
                <w:b/>
                <w:bCs/>
                <w:sz w:val="22"/>
                <w:szCs w:val="22"/>
                <w:lang w:eastAsia="en-US"/>
              </w:rPr>
              <w:t>M</w:t>
            </w:r>
          </w:p>
        </w:tc>
        <w:tc>
          <w:tcPr>
            <w:tcW w:w="0" w:type="auto"/>
            <w:tcBorders>
              <w:top w:val="single" w:sz="8" w:space="0" w:color="auto"/>
              <w:bottom w:val="single" w:sz="8" w:space="0" w:color="auto"/>
            </w:tcBorders>
            <w:hideMark/>
          </w:tcPr>
          <w:p w14:paraId="5DE5A7B4" w14:textId="77777777" w:rsidR="00B64510" w:rsidRPr="00B64510" w:rsidRDefault="00B64510" w:rsidP="002D6DE2">
            <w:pPr>
              <w:suppressAutoHyphens w:val="0"/>
              <w:ind w:firstLine="284"/>
              <w:rPr>
                <w:rFonts w:asciiTheme="minorHAnsi" w:eastAsiaTheme="minorHAnsi" w:hAnsiTheme="minorHAnsi" w:cstheme="minorHAnsi"/>
                <w:b/>
                <w:bCs/>
                <w:sz w:val="22"/>
                <w:szCs w:val="22"/>
                <w:lang w:eastAsia="en-US"/>
              </w:rPr>
            </w:pPr>
            <w:r w:rsidRPr="00B64510">
              <w:rPr>
                <w:rFonts w:asciiTheme="minorHAnsi" w:eastAsiaTheme="minorHAnsi" w:hAnsiTheme="minorHAnsi" w:cstheme="minorHAnsi"/>
                <w:b/>
                <w:bCs/>
                <w:sz w:val="22"/>
                <w:szCs w:val="22"/>
                <w:lang w:eastAsia="en-US"/>
              </w:rPr>
              <w:t>SD</w:t>
            </w:r>
          </w:p>
        </w:tc>
      </w:tr>
      <w:tr w:rsidR="00B64510" w:rsidRPr="00B64510" w14:paraId="248F3ECB" w14:textId="77777777" w:rsidTr="002D6DE2">
        <w:trPr>
          <w:tblCellSpacing w:w="15" w:type="dxa"/>
          <w:jc w:val="center"/>
        </w:trPr>
        <w:tc>
          <w:tcPr>
            <w:tcW w:w="0" w:type="auto"/>
            <w:hideMark/>
          </w:tcPr>
          <w:p w14:paraId="44C75D93" w14:textId="77777777" w:rsidR="00B64510" w:rsidRPr="00B64510" w:rsidRDefault="00B64510" w:rsidP="002D6DE2">
            <w:pPr>
              <w:suppressAutoHyphens w:val="0"/>
              <w:ind w:firstLine="284"/>
              <w:rPr>
                <w:rFonts w:asciiTheme="minorHAnsi" w:eastAsiaTheme="minorHAnsi" w:hAnsiTheme="minorHAnsi" w:cstheme="minorHAnsi"/>
                <w:sz w:val="22"/>
                <w:szCs w:val="22"/>
                <w:lang w:val="en-US" w:eastAsia="en-US"/>
              </w:rPr>
            </w:pPr>
            <w:r w:rsidRPr="00B64510">
              <w:rPr>
                <w:rFonts w:asciiTheme="minorHAnsi" w:eastAsiaTheme="minorHAnsi" w:hAnsiTheme="minorHAnsi" w:cstheme="minorHAnsi"/>
                <w:sz w:val="22"/>
                <w:szCs w:val="22"/>
                <w:lang w:val="en-US" w:eastAsia="en-US"/>
              </w:rPr>
              <w:t>Teaching experience in preschool education</w:t>
            </w:r>
          </w:p>
        </w:tc>
        <w:tc>
          <w:tcPr>
            <w:tcW w:w="0" w:type="auto"/>
            <w:hideMark/>
          </w:tcPr>
          <w:p w14:paraId="2F5DA453" w14:textId="77777777" w:rsidR="00B64510" w:rsidRPr="00B64510" w:rsidRDefault="00B64510" w:rsidP="002D6DE2">
            <w:pPr>
              <w:suppressAutoHyphens w:val="0"/>
              <w:ind w:firstLine="284"/>
              <w:rPr>
                <w:rFonts w:asciiTheme="minorHAnsi" w:eastAsiaTheme="minorHAnsi" w:hAnsiTheme="minorHAnsi" w:cstheme="minorHAnsi"/>
                <w:sz w:val="22"/>
                <w:szCs w:val="22"/>
                <w:lang w:eastAsia="en-US"/>
              </w:rPr>
            </w:pPr>
            <w:r w:rsidRPr="00B64510">
              <w:rPr>
                <w:rFonts w:asciiTheme="minorHAnsi" w:eastAsiaTheme="minorHAnsi" w:hAnsiTheme="minorHAnsi" w:cstheme="minorHAnsi"/>
                <w:sz w:val="22"/>
                <w:szCs w:val="22"/>
                <w:lang w:eastAsia="en-US"/>
              </w:rPr>
              <w:t>217</w:t>
            </w:r>
          </w:p>
        </w:tc>
        <w:tc>
          <w:tcPr>
            <w:tcW w:w="0" w:type="auto"/>
            <w:hideMark/>
          </w:tcPr>
          <w:p w14:paraId="3675C86A" w14:textId="77777777" w:rsidR="00B64510" w:rsidRPr="00B64510" w:rsidRDefault="00B64510" w:rsidP="002D6DE2">
            <w:pPr>
              <w:suppressAutoHyphens w:val="0"/>
              <w:ind w:firstLine="284"/>
              <w:rPr>
                <w:rFonts w:asciiTheme="minorHAnsi" w:eastAsiaTheme="minorHAnsi" w:hAnsiTheme="minorHAnsi" w:cstheme="minorHAnsi"/>
                <w:sz w:val="22"/>
                <w:szCs w:val="22"/>
                <w:lang w:eastAsia="en-US"/>
              </w:rPr>
            </w:pPr>
            <w:r w:rsidRPr="00B64510">
              <w:rPr>
                <w:rFonts w:asciiTheme="minorHAnsi" w:eastAsiaTheme="minorHAnsi" w:hAnsiTheme="minorHAnsi" w:cstheme="minorHAnsi"/>
                <w:sz w:val="22"/>
                <w:szCs w:val="22"/>
                <w:lang w:eastAsia="en-US"/>
              </w:rPr>
              <w:t>4.27</w:t>
            </w:r>
          </w:p>
        </w:tc>
        <w:tc>
          <w:tcPr>
            <w:tcW w:w="0" w:type="auto"/>
            <w:hideMark/>
          </w:tcPr>
          <w:p w14:paraId="5F965031" w14:textId="77777777" w:rsidR="00B64510" w:rsidRPr="00B64510" w:rsidRDefault="00B64510" w:rsidP="002D6DE2">
            <w:pPr>
              <w:suppressAutoHyphens w:val="0"/>
              <w:ind w:firstLine="284"/>
              <w:rPr>
                <w:rFonts w:asciiTheme="minorHAnsi" w:eastAsiaTheme="minorHAnsi" w:hAnsiTheme="minorHAnsi" w:cstheme="minorHAnsi"/>
                <w:sz w:val="22"/>
                <w:szCs w:val="22"/>
                <w:lang w:eastAsia="en-US"/>
              </w:rPr>
            </w:pPr>
            <w:r w:rsidRPr="00B64510">
              <w:rPr>
                <w:rFonts w:asciiTheme="minorHAnsi" w:eastAsiaTheme="minorHAnsi" w:hAnsiTheme="minorHAnsi" w:cstheme="minorHAnsi"/>
                <w:sz w:val="22"/>
                <w:szCs w:val="22"/>
                <w:lang w:eastAsia="en-US"/>
              </w:rPr>
              <w:t>0.98</w:t>
            </w:r>
          </w:p>
        </w:tc>
      </w:tr>
      <w:tr w:rsidR="00B64510" w:rsidRPr="00B64510" w14:paraId="6C7A3B63" w14:textId="77777777" w:rsidTr="002D6DE2">
        <w:trPr>
          <w:tblCellSpacing w:w="15" w:type="dxa"/>
          <w:jc w:val="center"/>
        </w:trPr>
        <w:tc>
          <w:tcPr>
            <w:tcW w:w="0" w:type="auto"/>
            <w:hideMark/>
          </w:tcPr>
          <w:p w14:paraId="2668C72B" w14:textId="77777777" w:rsidR="00B64510" w:rsidRPr="00B64510" w:rsidRDefault="00B64510" w:rsidP="002D6DE2">
            <w:pPr>
              <w:suppressAutoHyphens w:val="0"/>
              <w:ind w:firstLine="284"/>
              <w:rPr>
                <w:rFonts w:asciiTheme="minorHAnsi" w:eastAsiaTheme="minorHAnsi" w:hAnsiTheme="minorHAnsi" w:cstheme="minorHAnsi"/>
                <w:sz w:val="22"/>
                <w:szCs w:val="22"/>
                <w:lang w:val="en-US" w:eastAsia="en-US"/>
              </w:rPr>
            </w:pPr>
            <w:r w:rsidRPr="00B64510">
              <w:rPr>
                <w:rFonts w:asciiTheme="minorHAnsi" w:eastAsiaTheme="minorHAnsi" w:hAnsiTheme="minorHAnsi" w:cstheme="minorHAnsi"/>
                <w:sz w:val="22"/>
                <w:szCs w:val="22"/>
                <w:lang w:val="en-US" w:eastAsia="en-US"/>
              </w:rPr>
              <w:t>Relevance to the subject of study</w:t>
            </w:r>
          </w:p>
        </w:tc>
        <w:tc>
          <w:tcPr>
            <w:tcW w:w="0" w:type="auto"/>
            <w:hideMark/>
          </w:tcPr>
          <w:p w14:paraId="1CAD72CC" w14:textId="77777777" w:rsidR="00B64510" w:rsidRPr="00B64510" w:rsidRDefault="00B64510" w:rsidP="002D6DE2">
            <w:pPr>
              <w:suppressAutoHyphens w:val="0"/>
              <w:ind w:firstLine="284"/>
              <w:rPr>
                <w:rFonts w:asciiTheme="minorHAnsi" w:eastAsiaTheme="minorHAnsi" w:hAnsiTheme="minorHAnsi" w:cstheme="minorHAnsi"/>
                <w:sz w:val="22"/>
                <w:szCs w:val="22"/>
                <w:lang w:eastAsia="en-US"/>
              </w:rPr>
            </w:pPr>
            <w:r w:rsidRPr="00B64510">
              <w:rPr>
                <w:rFonts w:asciiTheme="minorHAnsi" w:eastAsiaTheme="minorHAnsi" w:hAnsiTheme="minorHAnsi" w:cstheme="minorHAnsi"/>
                <w:sz w:val="22"/>
                <w:szCs w:val="22"/>
                <w:lang w:eastAsia="en-US"/>
              </w:rPr>
              <w:t>169</w:t>
            </w:r>
          </w:p>
        </w:tc>
        <w:tc>
          <w:tcPr>
            <w:tcW w:w="0" w:type="auto"/>
            <w:hideMark/>
          </w:tcPr>
          <w:p w14:paraId="4519BC19" w14:textId="77777777" w:rsidR="00B64510" w:rsidRPr="00B64510" w:rsidRDefault="00B64510" w:rsidP="002D6DE2">
            <w:pPr>
              <w:suppressAutoHyphens w:val="0"/>
              <w:ind w:firstLine="284"/>
              <w:rPr>
                <w:rFonts w:asciiTheme="minorHAnsi" w:eastAsiaTheme="minorHAnsi" w:hAnsiTheme="minorHAnsi" w:cstheme="minorHAnsi"/>
                <w:sz w:val="22"/>
                <w:szCs w:val="22"/>
                <w:lang w:eastAsia="en-US"/>
              </w:rPr>
            </w:pPr>
            <w:r w:rsidRPr="00B64510">
              <w:rPr>
                <w:rFonts w:asciiTheme="minorHAnsi" w:eastAsiaTheme="minorHAnsi" w:hAnsiTheme="minorHAnsi" w:cstheme="minorHAnsi"/>
                <w:sz w:val="22"/>
                <w:szCs w:val="22"/>
                <w:lang w:eastAsia="en-US"/>
              </w:rPr>
              <w:t>4.09</w:t>
            </w:r>
          </w:p>
        </w:tc>
        <w:tc>
          <w:tcPr>
            <w:tcW w:w="0" w:type="auto"/>
            <w:hideMark/>
          </w:tcPr>
          <w:p w14:paraId="0751E992" w14:textId="77777777" w:rsidR="00B64510" w:rsidRPr="00B64510" w:rsidRDefault="00B64510" w:rsidP="002D6DE2">
            <w:pPr>
              <w:suppressAutoHyphens w:val="0"/>
              <w:ind w:firstLine="284"/>
              <w:rPr>
                <w:rFonts w:asciiTheme="minorHAnsi" w:eastAsiaTheme="minorHAnsi" w:hAnsiTheme="minorHAnsi" w:cstheme="minorHAnsi"/>
                <w:sz w:val="22"/>
                <w:szCs w:val="22"/>
                <w:lang w:eastAsia="en-US"/>
              </w:rPr>
            </w:pPr>
            <w:r w:rsidRPr="00B64510">
              <w:rPr>
                <w:rFonts w:asciiTheme="minorHAnsi" w:eastAsiaTheme="minorHAnsi" w:hAnsiTheme="minorHAnsi" w:cstheme="minorHAnsi"/>
                <w:sz w:val="22"/>
                <w:szCs w:val="22"/>
                <w:lang w:eastAsia="en-US"/>
              </w:rPr>
              <w:t>0.89</w:t>
            </w:r>
          </w:p>
        </w:tc>
      </w:tr>
      <w:tr w:rsidR="00B64510" w:rsidRPr="00B64510" w14:paraId="3DC10889" w14:textId="77777777" w:rsidTr="002D6DE2">
        <w:trPr>
          <w:tblCellSpacing w:w="15" w:type="dxa"/>
          <w:jc w:val="center"/>
        </w:trPr>
        <w:tc>
          <w:tcPr>
            <w:tcW w:w="0" w:type="auto"/>
            <w:hideMark/>
          </w:tcPr>
          <w:p w14:paraId="28452B65" w14:textId="77777777" w:rsidR="00B64510" w:rsidRPr="00B64510" w:rsidRDefault="00B64510" w:rsidP="00837415">
            <w:pPr>
              <w:suppressAutoHyphens w:val="0"/>
              <w:ind w:firstLine="284"/>
              <w:rPr>
                <w:rFonts w:asciiTheme="minorHAnsi" w:eastAsiaTheme="minorHAnsi" w:hAnsiTheme="minorHAnsi" w:cstheme="minorHAnsi"/>
                <w:sz w:val="22"/>
                <w:szCs w:val="22"/>
                <w:lang w:eastAsia="en-US"/>
              </w:rPr>
            </w:pPr>
            <w:r w:rsidRPr="00B64510">
              <w:rPr>
                <w:rFonts w:asciiTheme="minorHAnsi" w:eastAsiaTheme="minorHAnsi" w:hAnsiTheme="minorHAnsi" w:cstheme="minorHAnsi"/>
                <w:sz w:val="22"/>
                <w:szCs w:val="22"/>
                <w:lang w:eastAsia="en-US"/>
              </w:rPr>
              <w:t>Scientific/</w:t>
            </w:r>
            <w:proofErr w:type="spellStart"/>
            <w:r w:rsidRPr="00B64510">
              <w:rPr>
                <w:rFonts w:asciiTheme="minorHAnsi" w:eastAsiaTheme="minorHAnsi" w:hAnsiTheme="minorHAnsi" w:cstheme="minorHAnsi"/>
                <w:sz w:val="22"/>
                <w:szCs w:val="22"/>
                <w:lang w:eastAsia="en-US"/>
              </w:rPr>
              <w:t>academic</w:t>
            </w:r>
            <w:proofErr w:type="spellEnd"/>
            <w:r w:rsidRPr="00B64510">
              <w:rPr>
                <w:rFonts w:asciiTheme="minorHAnsi" w:eastAsiaTheme="minorHAnsi" w:hAnsiTheme="minorHAnsi" w:cstheme="minorHAnsi"/>
                <w:sz w:val="22"/>
                <w:szCs w:val="22"/>
                <w:lang w:eastAsia="en-US"/>
              </w:rPr>
              <w:t xml:space="preserve"> </w:t>
            </w:r>
            <w:proofErr w:type="spellStart"/>
            <w:r w:rsidRPr="00B64510">
              <w:rPr>
                <w:rFonts w:asciiTheme="minorHAnsi" w:eastAsiaTheme="minorHAnsi" w:hAnsiTheme="minorHAnsi" w:cstheme="minorHAnsi"/>
                <w:sz w:val="22"/>
                <w:szCs w:val="22"/>
                <w:lang w:eastAsia="en-US"/>
              </w:rPr>
              <w:t>training</w:t>
            </w:r>
            <w:proofErr w:type="spellEnd"/>
          </w:p>
        </w:tc>
        <w:tc>
          <w:tcPr>
            <w:tcW w:w="0" w:type="auto"/>
            <w:hideMark/>
          </w:tcPr>
          <w:p w14:paraId="009E80DC" w14:textId="77777777" w:rsidR="00B64510" w:rsidRPr="00B64510" w:rsidRDefault="00B64510" w:rsidP="002D6DE2">
            <w:pPr>
              <w:suppressAutoHyphens w:val="0"/>
              <w:ind w:firstLine="284"/>
              <w:rPr>
                <w:rFonts w:asciiTheme="minorHAnsi" w:eastAsiaTheme="minorHAnsi" w:hAnsiTheme="minorHAnsi" w:cstheme="minorHAnsi"/>
                <w:sz w:val="22"/>
                <w:szCs w:val="22"/>
                <w:lang w:eastAsia="en-US"/>
              </w:rPr>
            </w:pPr>
            <w:r w:rsidRPr="00B64510">
              <w:rPr>
                <w:rFonts w:asciiTheme="minorHAnsi" w:eastAsiaTheme="minorHAnsi" w:hAnsiTheme="minorHAnsi" w:cstheme="minorHAnsi"/>
                <w:sz w:val="22"/>
                <w:szCs w:val="22"/>
                <w:lang w:eastAsia="en-US"/>
              </w:rPr>
              <w:t>210</w:t>
            </w:r>
          </w:p>
        </w:tc>
        <w:tc>
          <w:tcPr>
            <w:tcW w:w="0" w:type="auto"/>
            <w:hideMark/>
          </w:tcPr>
          <w:p w14:paraId="5BC2301E" w14:textId="77777777" w:rsidR="00B64510" w:rsidRPr="00B64510" w:rsidRDefault="00B64510" w:rsidP="002D6DE2">
            <w:pPr>
              <w:suppressAutoHyphens w:val="0"/>
              <w:ind w:firstLine="284"/>
              <w:rPr>
                <w:rFonts w:asciiTheme="minorHAnsi" w:eastAsiaTheme="minorHAnsi" w:hAnsiTheme="minorHAnsi" w:cstheme="minorHAnsi"/>
                <w:sz w:val="22"/>
                <w:szCs w:val="22"/>
                <w:lang w:eastAsia="en-US"/>
              </w:rPr>
            </w:pPr>
            <w:r w:rsidRPr="00B64510">
              <w:rPr>
                <w:rFonts w:asciiTheme="minorHAnsi" w:eastAsiaTheme="minorHAnsi" w:hAnsiTheme="minorHAnsi" w:cstheme="minorHAnsi"/>
                <w:sz w:val="22"/>
                <w:szCs w:val="22"/>
                <w:lang w:eastAsia="en-US"/>
              </w:rPr>
              <w:t>4.02</w:t>
            </w:r>
          </w:p>
        </w:tc>
        <w:tc>
          <w:tcPr>
            <w:tcW w:w="0" w:type="auto"/>
            <w:hideMark/>
          </w:tcPr>
          <w:p w14:paraId="43BCD195" w14:textId="77777777" w:rsidR="00B64510" w:rsidRPr="00B64510" w:rsidRDefault="00B64510" w:rsidP="002D6DE2">
            <w:pPr>
              <w:suppressAutoHyphens w:val="0"/>
              <w:ind w:firstLine="284"/>
              <w:rPr>
                <w:rFonts w:asciiTheme="minorHAnsi" w:eastAsiaTheme="minorHAnsi" w:hAnsiTheme="minorHAnsi" w:cstheme="minorHAnsi"/>
                <w:sz w:val="22"/>
                <w:szCs w:val="22"/>
                <w:lang w:eastAsia="en-US"/>
              </w:rPr>
            </w:pPr>
            <w:r w:rsidRPr="00B64510">
              <w:rPr>
                <w:rFonts w:asciiTheme="minorHAnsi" w:eastAsiaTheme="minorHAnsi" w:hAnsiTheme="minorHAnsi" w:cstheme="minorHAnsi"/>
                <w:sz w:val="22"/>
                <w:szCs w:val="22"/>
                <w:lang w:eastAsia="en-US"/>
              </w:rPr>
              <w:t>1.03</w:t>
            </w:r>
          </w:p>
        </w:tc>
      </w:tr>
      <w:tr w:rsidR="00B64510" w:rsidRPr="00B64510" w14:paraId="133BC19E" w14:textId="77777777" w:rsidTr="003262E0">
        <w:trPr>
          <w:tblCellSpacing w:w="15" w:type="dxa"/>
          <w:jc w:val="center"/>
        </w:trPr>
        <w:tc>
          <w:tcPr>
            <w:tcW w:w="0" w:type="auto"/>
            <w:tcBorders>
              <w:bottom w:val="single" w:sz="8" w:space="0" w:color="auto"/>
            </w:tcBorders>
            <w:hideMark/>
          </w:tcPr>
          <w:p w14:paraId="31714D95" w14:textId="3C904B42" w:rsidR="00B64510" w:rsidRPr="00B64510" w:rsidRDefault="003262E0" w:rsidP="002D6DE2">
            <w:pPr>
              <w:suppressAutoHyphens w:val="0"/>
              <w:ind w:firstLine="284"/>
              <w:rPr>
                <w:rFonts w:asciiTheme="minorHAnsi" w:eastAsiaTheme="minorHAnsi" w:hAnsiTheme="minorHAnsi" w:cstheme="minorHAnsi"/>
                <w:sz w:val="22"/>
                <w:szCs w:val="22"/>
                <w:lang w:val="en-US" w:eastAsia="en-US"/>
              </w:rPr>
            </w:pPr>
            <w:r w:rsidRPr="00B64510">
              <w:rPr>
                <w:rFonts w:asciiTheme="minorHAnsi" w:eastAsiaTheme="minorHAnsi" w:hAnsiTheme="minorHAnsi" w:cstheme="minorHAnsi"/>
                <w:sz w:val="22"/>
                <w:szCs w:val="22"/>
                <w:lang w:val="en-US" w:eastAsia="en-US"/>
              </w:rPr>
              <w:t>Specialization</w:t>
            </w:r>
            <w:r w:rsidR="00B64510" w:rsidRPr="00B64510">
              <w:rPr>
                <w:rFonts w:asciiTheme="minorHAnsi" w:eastAsiaTheme="minorHAnsi" w:hAnsiTheme="minorHAnsi" w:cstheme="minorHAnsi"/>
                <w:sz w:val="22"/>
                <w:szCs w:val="22"/>
                <w:lang w:val="en-US" w:eastAsia="en-US"/>
              </w:rPr>
              <w:t xml:space="preserve"> in a specific subject area</w:t>
            </w:r>
          </w:p>
        </w:tc>
        <w:tc>
          <w:tcPr>
            <w:tcW w:w="0" w:type="auto"/>
            <w:tcBorders>
              <w:bottom w:val="single" w:sz="8" w:space="0" w:color="auto"/>
            </w:tcBorders>
            <w:hideMark/>
          </w:tcPr>
          <w:p w14:paraId="62BA107D" w14:textId="77777777" w:rsidR="00B64510" w:rsidRPr="00B64510" w:rsidRDefault="00B64510" w:rsidP="002D6DE2">
            <w:pPr>
              <w:suppressAutoHyphens w:val="0"/>
              <w:ind w:firstLine="284"/>
              <w:rPr>
                <w:rFonts w:asciiTheme="minorHAnsi" w:eastAsiaTheme="minorHAnsi" w:hAnsiTheme="minorHAnsi" w:cstheme="minorHAnsi"/>
                <w:sz w:val="22"/>
                <w:szCs w:val="22"/>
                <w:lang w:eastAsia="en-US"/>
              </w:rPr>
            </w:pPr>
            <w:r w:rsidRPr="00B64510">
              <w:rPr>
                <w:rFonts w:asciiTheme="minorHAnsi" w:eastAsiaTheme="minorHAnsi" w:hAnsiTheme="minorHAnsi" w:cstheme="minorHAnsi"/>
                <w:sz w:val="22"/>
                <w:szCs w:val="22"/>
                <w:lang w:eastAsia="en-US"/>
              </w:rPr>
              <w:t>169</w:t>
            </w:r>
          </w:p>
        </w:tc>
        <w:tc>
          <w:tcPr>
            <w:tcW w:w="0" w:type="auto"/>
            <w:tcBorders>
              <w:bottom w:val="single" w:sz="8" w:space="0" w:color="auto"/>
            </w:tcBorders>
            <w:hideMark/>
          </w:tcPr>
          <w:p w14:paraId="17177091" w14:textId="77777777" w:rsidR="00B64510" w:rsidRPr="00B64510" w:rsidRDefault="00B64510" w:rsidP="002D6DE2">
            <w:pPr>
              <w:suppressAutoHyphens w:val="0"/>
              <w:ind w:firstLine="284"/>
              <w:rPr>
                <w:rFonts w:asciiTheme="minorHAnsi" w:eastAsiaTheme="minorHAnsi" w:hAnsiTheme="minorHAnsi" w:cstheme="minorHAnsi"/>
                <w:sz w:val="22"/>
                <w:szCs w:val="22"/>
                <w:lang w:eastAsia="en-US"/>
              </w:rPr>
            </w:pPr>
            <w:r w:rsidRPr="00B64510">
              <w:rPr>
                <w:rFonts w:asciiTheme="minorHAnsi" w:eastAsiaTheme="minorHAnsi" w:hAnsiTheme="minorHAnsi" w:cstheme="minorHAnsi"/>
                <w:sz w:val="22"/>
                <w:szCs w:val="22"/>
                <w:lang w:eastAsia="en-US"/>
              </w:rPr>
              <w:t>3.68</w:t>
            </w:r>
          </w:p>
        </w:tc>
        <w:tc>
          <w:tcPr>
            <w:tcW w:w="0" w:type="auto"/>
            <w:tcBorders>
              <w:bottom w:val="single" w:sz="8" w:space="0" w:color="auto"/>
            </w:tcBorders>
            <w:hideMark/>
          </w:tcPr>
          <w:p w14:paraId="79462664" w14:textId="77777777" w:rsidR="00B64510" w:rsidRPr="00B64510" w:rsidRDefault="00B64510" w:rsidP="002D6DE2">
            <w:pPr>
              <w:suppressAutoHyphens w:val="0"/>
              <w:ind w:firstLine="284"/>
              <w:rPr>
                <w:rFonts w:asciiTheme="minorHAnsi" w:eastAsiaTheme="minorHAnsi" w:hAnsiTheme="minorHAnsi" w:cstheme="minorHAnsi"/>
                <w:sz w:val="22"/>
                <w:szCs w:val="22"/>
                <w:lang w:eastAsia="en-US"/>
              </w:rPr>
            </w:pPr>
            <w:r w:rsidRPr="00B64510">
              <w:rPr>
                <w:rFonts w:asciiTheme="minorHAnsi" w:eastAsiaTheme="minorHAnsi" w:hAnsiTheme="minorHAnsi" w:cstheme="minorHAnsi"/>
                <w:sz w:val="22"/>
                <w:szCs w:val="22"/>
                <w:lang w:eastAsia="en-US"/>
              </w:rPr>
              <w:t>1.01</w:t>
            </w:r>
          </w:p>
        </w:tc>
      </w:tr>
    </w:tbl>
    <w:p w14:paraId="48CE6B48" w14:textId="77777777" w:rsidR="00837415" w:rsidRDefault="00837415" w:rsidP="00837415">
      <w:pPr>
        <w:suppressAutoHyphens w:val="0"/>
        <w:ind w:firstLine="284"/>
        <w:jc w:val="both"/>
        <w:rPr>
          <w:rFonts w:asciiTheme="minorHAnsi" w:hAnsiTheme="minorHAnsi" w:cstheme="minorHAnsi"/>
          <w:sz w:val="22"/>
          <w:szCs w:val="22"/>
          <w:lang w:val="en-US" w:eastAsia="el-GR"/>
        </w:rPr>
      </w:pPr>
    </w:p>
    <w:p w14:paraId="767F8477" w14:textId="31F68000" w:rsidR="00B64510" w:rsidRPr="00B64510" w:rsidRDefault="00B64510" w:rsidP="00837415">
      <w:pPr>
        <w:suppressAutoHyphens w:val="0"/>
        <w:ind w:firstLine="284"/>
        <w:jc w:val="both"/>
        <w:rPr>
          <w:rFonts w:asciiTheme="minorHAnsi" w:hAnsiTheme="minorHAnsi" w:cstheme="minorHAnsi"/>
          <w:sz w:val="22"/>
          <w:szCs w:val="22"/>
          <w:lang w:val="en-US" w:eastAsia="el-GR"/>
        </w:rPr>
      </w:pPr>
      <w:r w:rsidRPr="00B64510">
        <w:rPr>
          <w:rFonts w:asciiTheme="minorHAnsi" w:hAnsiTheme="minorHAnsi" w:cstheme="minorHAnsi"/>
          <w:sz w:val="22"/>
          <w:szCs w:val="22"/>
          <w:lang w:val="en-US" w:eastAsia="el-GR"/>
        </w:rPr>
        <w:t xml:space="preserve">In terms of collaboration and communication, participants most frequently preferred </w:t>
      </w:r>
      <w:r w:rsidRPr="000C6ABC">
        <w:rPr>
          <w:rFonts w:asciiTheme="minorHAnsi" w:hAnsiTheme="minorHAnsi" w:cstheme="minorHAnsi"/>
          <w:bCs/>
          <w:sz w:val="22"/>
          <w:szCs w:val="22"/>
          <w:lang w:val="en-US" w:eastAsia="el-GR"/>
        </w:rPr>
        <w:t>scheduled appointments</w:t>
      </w:r>
      <w:r w:rsidRPr="00B64510">
        <w:rPr>
          <w:rFonts w:asciiTheme="minorHAnsi" w:hAnsiTheme="minorHAnsi" w:cstheme="minorHAnsi"/>
          <w:sz w:val="22"/>
          <w:szCs w:val="22"/>
          <w:lang w:val="en-US" w:eastAsia="el-GR"/>
        </w:rPr>
        <w:t xml:space="preserve"> (</w:t>
      </w:r>
      <w:r w:rsidRPr="000C6ABC">
        <w:rPr>
          <w:rFonts w:asciiTheme="minorHAnsi" w:eastAsiaTheme="majorEastAsia" w:hAnsiTheme="minorHAnsi" w:cstheme="minorHAnsi"/>
          <w:iCs/>
          <w:sz w:val="22"/>
          <w:szCs w:val="22"/>
          <w:lang w:val="en-US" w:eastAsia="el-GR"/>
        </w:rPr>
        <w:t>n</w:t>
      </w:r>
      <w:r w:rsidRPr="00B64510">
        <w:rPr>
          <w:rFonts w:asciiTheme="minorHAnsi" w:hAnsiTheme="minorHAnsi" w:cstheme="minorHAnsi"/>
          <w:sz w:val="22"/>
          <w:szCs w:val="22"/>
          <w:lang w:val="en-US" w:eastAsia="el-GR"/>
        </w:rPr>
        <w:t xml:space="preserve"> = 162, 73.3%) and e-mail communication (</w:t>
      </w:r>
      <w:r w:rsidRPr="000C6ABC">
        <w:rPr>
          <w:rFonts w:asciiTheme="minorHAnsi" w:eastAsiaTheme="majorEastAsia" w:hAnsiTheme="minorHAnsi" w:cstheme="minorHAnsi"/>
          <w:iCs/>
          <w:sz w:val="22"/>
          <w:szCs w:val="22"/>
          <w:lang w:val="en-US" w:eastAsia="el-GR"/>
        </w:rPr>
        <w:t>n</w:t>
      </w:r>
      <w:r w:rsidRPr="00B64510">
        <w:rPr>
          <w:rFonts w:asciiTheme="minorHAnsi" w:hAnsiTheme="minorHAnsi" w:cstheme="minorHAnsi"/>
          <w:sz w:val="22"/>
          <w:szCs w:val="22"/>
          <w:lang w:val="en-US" w:eastAsia="el-GR"/>
        </w:rPr>
        <w:t xml:space="preserve"> = 140, 63.3%), while </w:t>
      </w:r>
      <w:r w:rsidRPr="000C6ABC">
        <w:rPr>
          <w:rFonts w:asciiTheme="minorHAnsi" w:hAnsiTheme="minorHAnsi" w:cstheme="minorHAnsi"/>
          <w:bCs/>
          <w:sz w:val="22"/>
          <w:szCs w:val="22"/>
          <w:lang w:val="en-US" w:eastAsia="el-GR"/>
        </w:rPr>
        <w:t>telephone communication</w:t>
      </w:r>
      <w:r w:rsidRPr="00B64510">
        <w:rPr>
          <w:rFonts w:asciiTheme="minorHAnsi" w:hAnsiTheme="minorHAnsi" w:cstheme="minorHAnsi"/>
          <w:sz w:val="22"/>
          <w:szCs w:val="22"/>
          <w:lang w:val="en-US" w:eastAsia="el-GR"/>
        </w:rPr>
        <w:t xml:space="preserve"> </w:t>
      </w:r>
      <w:r w:rsidRPr="000C6ABC">
        <w:rPr>
          <w:rFonts w:asciiTheme="minorHAnsi" w:hAnsiTheme="minorHAnsi" w:cstheme="minorHAnsi"/>
          <w:bCs/>
          <w:sz w:val="22"/>
          <w:szCs w:val="22"/>
          <w:lang w:val="en-US" w:eastAsia="el-GR"/>
        </w:rPr>
        <w:t>was mentioned less often</w:t>
      </w:r>
      <w:r w:rsidRPr="00B64510">
        <w:rPr>
          <w:rFonts w:asciiTheme="minorHAnsi" w:hAnsiTheme="minorHAnsi" w:cstheme="minorHAnsi"/>
          <w:sz w:val="22"/>
          <w:szCs w:val="22"/>
          <w:lang w:val="en-US" w:eastAsia="el-GR"/>
        </w:rPr>
        <w:t xml:space="preserve"> (</w:t>
      </w:r>
      <w:r w:rsidRPr="000C6ABC">
        <w:rPr>
          <w:rFonts w:asciiTheme="minorHAnsi" w:eastAsiaTheme="majorEastAsia" w:hAnsiTheme="minorHAnsi" w:cstheme="minorHAnsi"/>
          <w:iCs/>
          <w:sz w:val="22"/>
          <w:szCs w:val="22"/>
          <w:lang w:val="en-US" w:eastAsia="el-GR"/>
        </w:rPr>
        <w:t>n</w:t>
      </w:r>
      <w:r w:rsidRPr="00B64510">
        <w:rPr>
          <w:rFonts w:asciiTheme="minorHAnsi" w:hAnsiTheme="minorHAnsi" w:cstheme="minorHAnsi"/>
          <w:sz w:val="22"/>
          <w:szCs w:val="22"/>
          <w:lang w:val="en-US" w:eastAsia="el-GR"/>
        </w:rPr>
        <w:t xml:space="preserve"> = 63, 28.5%).</w:t>
      </w:r>
      <w:r w:rsidRPr="00B64510">
        <w:rPr>
          <w:rFonts w:asciiTheme="minorHAnsi" w:eastAsiaTheme="minorHAnsi" w:hAnsiTheme="minorHAnsi" w:cstheme="minorHAnsi"/>
          <w:sz w:val="22"/>
          <w:szCs w:val="22"/>
          <w:lang w:val="en-US" w:eastAsia="en-US"/>
        </w:rPr>
        <w:t xml:space="preserve"> </w:t>
      </w:r>
      <w:r w:rsidRPr="00B64510">
        <w:rPr>
          <w:rFonts w:asciiTheme="minorHAnsi" w:hAnsiTheme="minorHAnsi" w:cstheme="minorHAnsi"/>
          <w:sz w:val="22"/>
          <w:szCs w:val="22"/>
          <w:lang w:val="en-US" w:eastAsia="el-GR"/>
        </w:rPr>
        <w:t>Regarding communication frequency, nearly half of the participants (</w:t>
      </w:r>
      <w:r w:rsidRPr="000C6ABC">
        <w:rPr>
          <w:rFonts w:asciiTheme="minorHAnsi" w:eastAsiaTheme="majorEastAsia" w:hAnsiTheme="minorHAnsi" w:cstheme="minorHAnsi"/>
          <w:iCs/>
          <w:sz w:val="22"/>
          <w:szCs w:val="22"/>
          <w:lang w:val="en-US" w:eastAsia="el-GR"/>
        </w:rPr>
        <w:t>n</w:t>
      </w:r>
      <w:r w:rsidRPr="00B64510">
        <w:rPr>
          <w:rFonts w:asciiTheme="minorHAnsi" w:hAnsiTheme="minorHAnsi" w:cstheme="minorHAnsi"/>
          <w:sz w:val="22"/>
          <w:szCs w:val="22"/>
          <w:lang w:val="en-US" w:eastAsia="el-GR"/>
        </w:rPr>
        <w:t xml:space="preserve"> = 103, 46.6%) expressed a preference for </w:t>
      </w:r>
      <w:r w:rsidRPr="00B64510">
        <w:rPr>
          <w:rFonts w:asciiTheme="minorHAnsi" w:hAnsiTheme="minorHAnsi" w:cstheme="minorHAnsi"/>
          <w:bCs/>
          <w:sz w:val="22"/>
          <w:szCs w:val="22"/>
          <w:lang w:val="en-US" w:eastAsia="el-GR"/>
        </w:rPr>
        <w:t>once-weekly communication</w:t>
      </w:r>
      <w:r w:rsidRPr="00B64510">
        <w:rPr>
          <w:rFonts w:asciiTheme="minorHAnsi" w:hAnsiTheme="minorHAnsi" w:cstheme="minorHAnsi"/>
          <w:sz w:val="22"/>
          <w:szCs w:val="22"/>
          <w:lang w:val="en-US" w:eastAsia="el-GR"/>
        </w:rPr>
        <w:t>, whereas a substantial proportion (</w:t>
      </w:r>
      <w:r w:rsidRPr="000C6ABC">
        <w:rPr>
          <w:rFonts w:asciiTheme="minorHAnsi" w:eastAsiaTheme="majorEastAsia" w:hAnsiTheme="minorHAnsi" w:cstheme="minorHAnsi"/>
          <w:iCs/>
          <w:sz w:val="22"/>
          <w:szCs w:val="22"/>
          <w:lang w:val="en-US" w:eastAsia="el-GR"/>
        </w:rPr>
        <w:t>n</w:t>
      </w:r>
      <w:r w:rsidRPr="00B64510">
        <w:rPr>
          <w:rFonts w:asciiTheme="minorHAnsi" w:hAnsiTheme="minorHAnsi" w:cstheme="minorHAnsi"/>
          <w:sz w:val="22"/>
          <w:szCs w:val="22"/>
          <w:lang w:val="en-US" w:eastAsia="el-GR"/>
        </w:rPr>
        <w:t xml:space="preserve"> = 57, 25.8%) preferred communication </w:t>
      </w:r>
      <w:r w:rsidRPr="00B64510">
        <w:rPr>
          <w:rFonts w:asciiTheme="minorHAnsi" w:hAnsiTheme="minorHAnsi" w:cstheme="minorHAnsi"/>
          <w:bCs/>
          <w:sz w:val="22"/>
          <w:szCs w:val="22"/>
          <w:lang w:val="en-US" w:eastAsia="el-GR"/>
        </w:rPr>
        <w:t>two to three times per week</w:t>
      </w:r>
      <w:r w:rsidRPr="00B64510">
        <w:rPr>
          <w:rFonts w:asciiTheme="minorHAnsi" w:hAnsiTheme="minorHAnsi" w:cstheme="minorHAnsi"/>
          <w:sz w:val="22"/>
          <w:szCs w:val="22"/>
          <w:lang w:val="en-US" w:eastAsia="el-GR"/>
        </w:rPr>
        <w:t xml:space="preserve">. </w:t>
      </w:r>
    </w:p>
    <w:p w14:paraId="1509C0AB" w14:textId="77777777" w:rsidR="00B64510" w:rsidRPr="00B64510" w:rsidRDefault="00B64510" w:rsidP="00837415">
      <w:pPr>
        <w:suppressAutoHyphens w:val="0"/>
        <w:ind w:firstLine="284"/>
        <w:jc w:val="both"/>
        <w:rPr>
          <w:rFonts w:asciiTheme="minorHAnsi" w:hAnsiTheme="minorHAnsi" w:cstheme="minorHAnsi"/>
          <w:sz w:val="22"/>
          <w:szCs w:val="22"/>
          <w:lang w:val="en-US" w:eastAsia="el-GR"/>
        </w:rPr>
      </w:pPr>
      <w:r w:rsidRPr="00B64510">
        <w:rPr>
          <w:rFonts w:asciiTheme="minorHAnsi" w:hAnsiTheme="minorHAnsi" w:cstheme="minorHAnsi"/>
          <w:sz w:val="22"/>
          <w:szCs w:val="22"/>
          <w:lang w:val="en-US" w:eastAsia="el-GR"/>
        </w:rPr>
        <w:t xml:space="preserve">Concerning feedback formats, </w:t>
      </w:r>
      <w:r w:rsidRPr="00B64510">
        <w:rPr>
          <w:rFonts w:asciiTheme="minorHAnsi" w:hAnsiTheme="minorHAnsi" w:cstheme="minorHAnsi"/>
          <w:bCs/>
          <w:sz w:val="22"/>
          <w:szCs w:val="22"/>
          <w:lang w:val="en-US" w:eastAsia="el-GR"/>
        </w:rPr>
        <w:t>in-person small-group workshops</w:t>
      </w:r>
      <w:r w:rsidRPr="00B64510">
        <w:rPr>
          <w:rFonts w:asciiTheme="minorHAnsi" w:hAnsiTheme="minorHAnsi" w:cstheme="minorHAnsi"/>
          <w:sz w:val="22"/>
          <w:szCs w:val="22"/>
          <w:lang w:val="en-US" w:eastAsia="el-GR"/>
        </w:rPr>
        <w:t xml:space="preserve"> were rated as the most effective setting (</w:t>
      </w:r>
      <w:r w:rsidRPr="00B64510">
        <w:rPr>
          <w:rFonts w:asciiTheme="minorHAnsi" w:hAnsiTheme="minorHAnsi" w:cstheme="minorHAnsi"/>
          <w:iCs/>
          <w:sz w:val="22"/>
          <w:szCs w:val="22"/>
          <w:lang w:val="en-US" w:eastAsia="el-GR"/>
        </w:rPr>
        <w:t>M</w:t>
      </w:r>
      <w:r w:rsidRPr="00B64510">
        <w:rPr>
          <w:rFonts w:asciiTheme="minorHAnsi" w:hAnsiTheme="minorHAnsi" w:cstheme="minorHAnsi"/>
          <w:sz w:val="22"/>
          <w:szCs w:val="22"/>
          <w:lang w:val="en-US" w:eastAsia="el-GR"/>
        </w:rPr>
        <w:t xml:space="preserve"> = 4.29, </w:t>
      </w:r>
      <w:r w:rsidRPr="00B64510">
        <w:rPr>
          <w:rFonts w:asciiTheme="minorHAnsi" w:hAnsiTheme="minorHAnsi" w:cstheme="minorHAnsi"/>
          <w:iCs/>
          <w:sz w:val="22"/>
          <w:szCs w:val="22"/>
          <w:lang w:val="en-US" w:eastAsia="el-GR"/>
        </w:rPr>
        <w:t>SD</w:t>
      </w:r>
      <w:r w:rsidRPr="00B64510">
        <w:rPr>
          <w:rFonts w:asciiTheme="minorHAnsi" w:hAnsiTheme="minorHAnsi" w:cstheme="minorHAnsi"/>
          <w:sz w:val="22"/>
          <w:szCs w:val="22"/>
          <w:lang w:val="en-US" w:eastAsia="el-GR"/>
        </w:rPr>
        <w:t xml:space="preserve"> = 0.79), compared with </w:t>
      </w:r>
      <w:r w:rsidRPr="00B64510">
        <w:rPr>
          <w:rFonts w:asciiTheme="minorHAnsi" w:hAnsiTheme="minorHAnsi" w:cstheme="minorHAnsi"/>
          <w:bCs/>
          <w:sz w:val="22"/>
          <w:szCs w:val="22"/>
          <w:lang w:val="en-US" w:eastAsia="el-GR"/>
        </w:rPr>
        <w:t>in-person plenary lectures</w:t>
      </w:r>
      <w:r w:rsidRPr="00B64510">
        <w:rPr>
          <w:rFonts w:asciiTheme="minorHAnsi" w:hAnsiTheme="minorHAnsi" w:cstheme="minorHAnsi"/>
          <w:sz w:val="22"/>
          <w:szCs w:val="22"/>
          <w:lang w:val="en-US" w:eastAsia="el-GR"/>
        </w:rPr>
        <w:t xml:space="preserve"> (</w:t>
      </w:r>
      <w:r w:rsidRPr="00B64510">
        <w:rPr>
          <w:rFonts w:asciiTheme="minorHAnsi" w:hAnsiTheme="minorHAnsi" w:cstheme="minorHAnsi"/>
          <w:iCs/>
          <w:sz w:val="22"/>
          <w:szCs w:val="22"/>
          <w:lang w:val="en-US" w:eastAsia="el-GR"/>
        </w:rPr>
        <w:t>M</w:t>
      </w:r>
      <w:r w:rsidRPr="00B64510">
        <w:rPr>
          <w:rFonts w:asciiTheme="minorHAnsi" w:hAnsiTheme="minorHAnsi" w:cstheme="minorHAnsi"/>
          <w:sz w:val="22"/>
          <w:szCs w:val="22"/>
          <w:lang w:val="en-US" w:eastAsia="el-GR"/>
        </w:rPr>
        <w:t xml:space="preserve"> = 3.68, </w:t>
      </w:r>
      <w:r w:rsidRPr="00B64510">
        <w:rPr>
          <w:rFonts w:asciiTheme="minorHAnsi" w:hAnsiTheme="minorHAnsi" w:cstheme="minorHAnsi"/>
          <w:iCs/>
          <w:sz w:val="22"/>
          <w:szCs w:val="22"/>
          <w:lang w:val="en-US" w:eastAsia="el-GR"/>
        </w:rPr>
        <w:t>SD</w:t>
      </w:r>
      <w:r w:rsidRPr="00B64510">
        <w:rPr>
          <w:rFonts w:asciiTheme="minorHAnsi" w:hAnsiTheme="minorHAnsi" w:cstheme="minorHAnsi"/>
          <w:sz w:val="22"/>
          <w:szCs w:val="22"/>
          <w:lang w:val="en-US" w:eastAsia="el-GR"/>
        </w:rPr>
        <w:t xml:space="preserve"> = 0.97) and </w:t>
      </w:r>
      <w:r w:rsidRPr="00B64510">
        <w:rPr>
          <w:rFonts w:asciiTheme="minorHAnsi" w:hAnsiTheme="minorHAnsi" w:cstheme="minorHAnsi"/>
          <w:bCs/>
          <w:sz w:val="22"/>
          <w:szCs w:val="22"/>
          <w:lang w:val="en-US" w:eastAsia="el-GR"/>
        </w:rPr>
        <w:t>online/distance feedback</w:t>
      </w:r>
      <w:r w:rsidRPr="00B64510">
        <w:rPr>
          <w:rFonts w:asciiTheme="minorHAnsi" w:hAnsiTheme="minorHAnsi" w:cstheme="minorHAnsi"/>
          <w:sz w:val="22"/>
          <w:szCs w:val="22"/>
          <w:lang w:val="en-US" w:eastAsia="el-GR"/>
        </w:rPr>
        <w:t xml:space="preserve"> (</w:t>
      </w:r>
      <w:r w:rsidRPr="00B64510">
        <w:rPr>
          <w:rFonts w:asciiTheme="minorHAnsi" w:hAnsiTheme="minorHAnsi" w:cstheme="minorHAnsi"/>
          <w:iCs/>
          <w:sz w:val="22"/>
          <w:szCs w:val="22"/>
          <w:lang w:val="en-US" w:eastAsia="el-GR"/>
        </w:rPr>
        <w:t>M</w:t>
      </w:r>
      <w:r w:rsidRPr="00B64510">
        <w:rPr>
          <w:rFonts w:asciiTheme="minorHAnsi" w:hAnsiTheme="minorHAnsi" w:cstheme="minorHAnsi"/>
          <w:sz w:val="22"/>
          <w:szCs w:val="22"/>
          <w:lang w:val="en-US" w:eastAsia="el-GR"/>
        </w:rPr>
        <w:t xml:space="preserve"> = 3.51, </w:t>
      </w:r>
      <w:r w:rsidRPr="00B64510">
        <w:rPr>
          <w:rFonts w:asciiTheme="minorHAnsi" w:hAnsiTheme="minorHAnsi" w:cstheme="minorHAnsi"/>
          <w:iCs/>
          <w:sz w:val="22"/>
          <w:szCs w:val="22"/>
          <w:lang w:val="en-US" w:eastAsia="el-GR"/>
        </w:rPr>
        <w:t>SD</w:t>
      </w:r>
      <w:r w:rsidRPr="00B64510">
        <w:rPr>
          <w:rFonts w:asciiTheme="minorHAnsi" w:hAnsiTheme="minorHAnsi" w:cstheme="minorHAnsi"/>
          <w:sz w:val="22"/>
          <w:szCs w:val="22"/>
          <w:lang w:val="en-US" w:eastAsia="el-GR"/>
        </w:rPr>
        <w:t xml:space="preserve"> = 0.96) </w:t>
      </w:r>
    </w:p>
    <w:p w14:paraId="32312847" w14:textId="5F3F3E5C" w:rsidR="00B64510" w:rsidRPr="00B64510" w:rsidRDefault="00B64510" w:rsidP="00837415">
      <w:pPr>
        <w:suppressAutoHyphens w:val="0"/>
        <w:ind w:firstLine="284"/>
        <w:jc w:val="both"/>
        <w:rPr>
          <w:rFonts w:asciiTheme="minorHAnsi" w:hAnsiTheme="minorHAnsi" w:cstheme="minorHAnsi"/>
          <w:sz w:val="22"/>
          <w:szCs w:val="22"/>
          <w:lang w:val="en-US" w:eastAsia="el-GR"/>
        </w:rPr>
      </w:pPr>
      <w:r w:rsidRPr="00B64510">
        <w:rPr>
          <w:rFonts w:asciiTheme="minorHAnsi" w:hAnsiTheme="minorHAnsi" w:cstheme="minorHAnsi"/>
          <w:sz w:val="22"/>
          <w:szCs w:val="22"/>
          <w:lang w:val="en-US" w:eastAsia="el-GR"/>
        </w:rPr>
        <w:t xml:space="preserve">The supervisory roles most frequently expected during collaboration were </w:t>
      </w:r>
      <w:r w:rsidRPr="000C6ABC">
        <w:rPr>
          <w:rFonts w:asciiTheme="minorHAnsi" w:hAnsiTheme="minorHAnsi" w:cstheme="minorHAnsi"/>
          <w:bCs/>
          <w:sz w:val="22"/>
          <w:szCs w:val="22"/>
          <w:lang w:val="en-US" w:eastAsia="el-GR"/>
        </w:rPr>
        <w:t>advisory guidance</w:t>
      </w:r>
      <w:r w:rsidRPr="00B64510">
        <w:rPr>
          <w:rFonts w:asciiTheme="minorHAnsi" w:hAnsiTheme="minorHAnsi" w:cstheme="minorHAnsi"/>
          <w:sz w:val="22"/>
          <w:szCs w:val="22"/>
          <w:lang w:val="en-US" w:eastAsia="el-GR"/>
        </w:rPr>
        <w:t xml:space="preserve"> (</w:t>
      </w:r>
      <w:r w:rsidRPr="000C6ABC">
        <w:rPr>
          <w:rFonts w:asciiTheme="minorHAnsi" w:eastAsiaTheme="majorEastAsia" w:hAnsiTheme="minorHAnsi" w:cstheme="minorHAnsi"/>
          <w:iCs/>
          <w:sz w:val="22"/>
          <w:szCs w:val="22"/>
          <w:lang w:val="en-US" w:eastAsia="el-GR"/>
        </w:rPr>
        <w:t>n</w:t>
      </w:r>
      <w:r w:rsidRPr="00B64510">
        <w:rPr>
          <w:rFonts w:asciiTheme="minorHAnsi" w:hAnsiTheme="minorHAnsi" w:cstheme="minorHAnsi"/>
          <w:sz w:val="22"/>
          <w:szCs w:val="22"/>
          <w:lang w:val="en-US" w:eastAsia="el-GR"/>
        </w:rPr>
        <w:t xml:space="preserve"> = 178, 80.5%), followed by </w:t>
      </w:r>
      <w:r w:rsidRPr="000C6ABC">
        <w:rPr>
          <w:rFonts w:asciiTheme="minorHAnsi" w:hAnsiTheme="minorHAnsi" w:cstheme="minorHAnsi"/>
          <w:bCs/>
          <w:sz w:val="22"/>
          <w:szCs w:val="22"/>
          <w:lang w:val="en-US" w:eastAsia="el-GR"/>
        </w:rPr>
        <w:t>pedagogical guidance</w:t>
      </w:r>
      <w:r w:rsidRPr="00B64510">
        <w:rPr>
          <w:rFonts w:asciiTheme="minorHAnsi" w:hAnsiTheme="minorHAnsi" w:cstheme="minorHAnsi"/>
          <w:sz w:val="22"/>
          <w:szCs w:val="22"/>
          <w:lang w:val="en-US" w:eastAsia="el-GR"/>
        </w:rPr>
        <w:t xml:space="preserve"> (</w:t>
      </w:r>
      <w:r w:rsidRPr="000C6ABC">
        <w:rPr>
          <w:rFonts w:asciiTheme="minorHAnsi" w:eastAsiaTheme="majorEastAsia" w:hAnsiTheme="minorHAnsi" w:cstheme="minorHAnsi"/>
          <w:iCs/>
          <w:sz w:val="22"/>
          <w:szCs w:val="22"/>
          <w:lang w:val="en-US" w:eastAsia="el-GR"/>
        </w:rPr>
        <w:t>n</w:t>
      </w:r>
      <w:r w:rsidRPr="00B64510">
        <w:rPr>
          <w:rFonts w:asciiTheme="minorHAnsi" w:hAnsiTheme="minorHAnsi" w:cstheme="minorHAnsi"/>
          <w:sz w:val="22"/>
          <w:szCs w:val="22"/>
          <w:lang w:val="en-US" w:eastAsia="el-GR"/>
        </w:rPr>
        <w:t xml:space="preserve"> = 148, 67.0%), and </w:t>
      </w:r>
      <w:r w:rsidRPr="000C6ABC">
        <w:rPr>
          <w:rFonts w:asciiTheme="minorHAnsi" w:hAnsiTheme="minorHAnsi" w:cstheme="minorHAnsi"/>
          <w:bCs/>
          <w:sz w:val="22"/>
          <w:szCs w:val="22"/>
          <w:lang w:val="en-US" w:eastAsia="el-GR"/>
        </w:rPr>
        <w:t>feedback on implementation/teaching</w:t>
      </w:r>
      <w:r w:rsidRPr="00B64510">
        <w:rPr>
          <w:rFonts w:asciiTheme="minorHAnsi" w:hAnsiTheme="minorHAnsi" w:cstheme="minorHAnsi"/>
          <w:sz w:val="22"/>
          <w:szCs w:val="22"/>
          <w:lang w:val="en-US" w:eastAsia="el-GR"/>
        </w:rPr>
        <w:t xml:space="preserve"> (</w:t>
      </w:r>
      <w:r w:rsidRPr="000C6ABC">
        <w:rPr>
          <w:rFonts w:asciiTheme="minorHAnsi" w:eastAsiaTheme="majorEastAsia" w:hAnsiTheme="minorHAnsi" w:cstheme="minorHAnsi"/>
          <w:iCs/>
          <w:sz w:val="22"/>
          <w:szCs w:val="22"/>
          <w:lang w:val="en-US" w:eastAsia="el-GR"/>
        </w:rPr>
        <w:t>n</w:t>
      </w:r>
      <w:r w:rsidRPr="00B64510">
        <w:rPr>
          <w:rFonts w:asciiTheme="minorHAnsi" w:hAnsiTheme="minorHAnsi" w:cstheme="minorHAnsi"/>
          <w:sz w:val="22"/>
          <w:szCs w:val="22"/>
          <w:lang w:val="en-US" w:eastAsia="el-GR"/>
        </w:rPr>
        <w:t xml:space="preserve"> = 144, 65.2%) (Table </w:t>
      </w:r>
      <w:r w:rsidR="00837415">
        <w:rPr>
          <w:rFonts w:asciiTheme="minorHAnsi" w:hAnsiTheme="minorHAnsi" w:cstheme="minorHAnsi"/>
          <w:sz w:val="22"/>
          <w:szCs w:val="22"/>
          <w:lang w:val="en-US" w:eastAsia="el-GR"/>
        </w:rPr>
        <w:t>3</w:t>
      </w:r>
      <w:r w:rsidRPr="00B64510">
        <w:rPr>
          <w:rFonts w:asciiTheme="minorHAnsi" w:hAnsiTheme="minorHAnsi" w:cstheme="minorHAnsi"/>
          <w:sz w:val="22"/>
          <w:szCs w:val="22"/>
          <w:lang w:val="en-US" w:eastAsia="el-GR"/>
        </w:rPr>
        <w:t>).</w:t>
      </w:r>
    </w:p>
    <w:p w14:paraId="22E30290" w14:textId="247D7457" w:rsidR="00B64510" w:rsidRPr="00082C48" w:rsidRDefault="00B64510" w:rsidP="00837415">
      <w:pPr>
        <w:suppressAutoHyphens w:val="0"/>
        <w:spacing w:before="240"/>
        <w:ind w:firstLine="284"/>
        <w:jc w:val="center"/>
        <w:rPr>
          <w:rFonts w:asciiTheme="minorHAnsi" w:eastAsiaTheme="majorEastAsia" w:hAnsiTheme="minorHAnsi" w:cstheme="minorHAnsi"/>
          <w:b/>
          <w:bCs/>
          <w:sz w:val="22"/>
          <w:szCs w:val="22"/>
          <w:lang w:val="en-US" w:eastAsia="el-GR"/>
        </w:rPr>
      </w:pPr>
      <w:r w:rsidRPr="00082C48">
        <w:rPr>
          <w:rFonts w:asciiTheme="minorHAnsi" w:eastAsiaTheme="majorEastAsia" w:hAnsiTheme="minorHAnsi" w:cstheme="minorHAnsi"/>
          <w:b/>
          <w:bCs/>
          <w:sz w:val="22"/>
          <w:szCs w:val="22"/>
          <w:lang w:val="en-US" w:eastAsia="el-GR"/>
        </w:rPr>
        <w:t xml:space="preserve">Table </w:t>
      </w:r>
      <w:r w:rsidR="00837415" w:rsidRPr="00082C48">
        <w:rPr>
          <w:rFonts w:asciiTheme="minorHAnsi" w:eastAsiaTheme="majorEastAsia" w:hAnsiTheme="minorHAnsi" w:cstheme="minorHAnsi"/>
          <w:b/>
          <w:bCs/>
          <w:sz w:val="22"/>
          <w:szCs w:val="22"/>
          <w:lang w:val="en-US" w:eastAsia="el-GR"/>
        </w:rPr>
        <w:t>3</w:t>
      </w:r>
      <w:r w:rsidRPr="00082C48">
        <w:rPr>
          <w:rFonts w:asciiTheme="minorHAnsi" w:eastAsiaTheme="majorEastAsia" w:hAnsiTheme="minorHAnsi" w:cstheme="minorHAnsi"/>
          <w:b/>
          <w:bCs/>
          <w:sz w:val="22"/>
          <w:szCs w:val="22"/>
          <w:lang w:val="en-US" w:eastAsia="el-GR"/>
        </w:rPr>
        <w:t>. Expected supervisory roles (multiple responses allowed; N = 221)</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829"/>
        <w:gridCol w:w="679"/>
        <w:gridCol w:w="750"/>
      </w:tblGrid>
      <w:tr w:rsidR="00B64510" w:rsidRPr="00B64510" w14:paraId="186D97D4" w14:textId="77777777" w:rsidTr="003262E0">
        <w:trPr>
          <w:tblHeader/>
          <w:tblCellSpacing w:w="15" w:type="dxa"/>
          <w:jc w:val="center"/>
        </w:trPr>
        <w:tc>
          <w:tcPr>
            <w:tcW w:w="0" w:type="auto"/>
            <w:tcBorders>
              <w:top w:val="single" w:sz="8" w:space="0" w:color="auto"/>
              <w:bottom w:val="single" w:sz="8" w:space="0" w:color="auto"/>
            </w:tcBorders>
            <w:hideMark/>
          </w:tcPr>
          <w:p w14:paraId="79E60ED3" w14:textId="77777777" w:rsidR="00B64510" w:rsidRPr="00B64510" w:rsidRDefault="00B64510" w:rsidP="00837415">
            <w:pPr>
              <w:suppressAutoHyphens w:val="0"/>
              <w:ind w:firstLine="284"/>
              <w:rPr>
                <w:rFonts w:asciiTheme="minorHAnsi" w:eastAsiaTheme="minorHAnsi" w:hAnsiTheme="minorHAnsi" w:cstheme="minorHAnsi"/>
                <w:b/>
                <w:bCs/>
                <w:sz w:val="22"/>
                <w:szCs w:val="22"/>
                <w:lang w:eastAsia="en-US"/>
              </w:rPr>
            </w:pPr>
            <w:proofErr w:type="spellStart"/>
            <w:r w:rsidRPr="00B64510">
              <w:rPr>
                <w:rFonts w:asciiTheme="minorHAnsi" w:eastAsiaTheme="minorHAnsi" w:hAnsiTheme="minorHAnsi" w:cstheme="minorHAnsi"/>
                <w:b/>
                <w:bCs/>
                <w:sz w:val="22"/>
                <w:szCs w:val="22"/>
                <w:lang w:eastAsia="en-US"/>
              </w:rPr>
              <w:t>Expected</w:t>
            </w:r>
            <w:proofErr w:type="spellEnd"/>
            <w:r w:rsidRPr="00B64510">
              <w:rPr>
                <w:rFonts w:asciiTheme="minorHAnsi" w:eastAsiaTheme="minorHAnsi" w:hAnsiTheme="minorHAnsi" w:cstheme="minorHAnsi"/>
                <w:b/>
                <w:bCs/>
                <w:sz w:val="22"/>
                <w:szCs w:val="22"/>
                <w:lang w:eastAsia="en-US"/>
              </w:rPr>
              <w:t xml:space="preserve"> </w:t>
            </w:r>
            <w:proofErr w:type="spellStart"/>
            <w:r w:rsidRPr="00B64510">
              <w:rPr>
                <w:rFonts w:asciiTheme="minorHAnsi" w:eastAsiaTheme="minorHAnsi" w:hAnsiTheme="minorHAnsi" w:cstheme="minorHAnsi"/>
                <w:b/>
                <w:bCs/>
                <w:sz w:val="22"/>
                <w:szCs w:val="22"/>
                <w:lang w:eastAsia="en-US"/>
              </w:rPr>
              <w:t>role</w:t>
            </w:r>
            <w:proofErr w:type="spellEnd"/>
          </w:p>
        </w:tc>
        <w:tc>
          <w:tcPr>
            <w:tcW w:w="0" w:type="auto"/>
            <w:tcBorders>
              <w:top w:val="single" w:sz="8" w:space="0" w:color="auto"/>
              <w:bottom w:val="single" w:sz="8" w:space="0" w:color="auto"/>
            </w:tcBorders>
            <w:hideMark/>
          </w:tcPr>
          <w:p w14:paraId="09D39D8E" w14:textId="77777777" w:rsidR="00B64510" w:rsidRPr="00B64510" w:rsidRDefault="00B64510" w:rsidP="00837415">
            <w:pPr>
              <w:suppressAutoHyphens w:val="0"/>
              <w:ind w:firstLine="284"/>
              <w:rPr>
                <w:rFonts w:asciiTheme="minorHAnsi" w:eastAsiaTheme="minorHAnsi" w:hAnsiTheme="minorHAnsi" w:cstheme="minorHAnsi"/>
                <w:b/>
                <w:bCs/>
                <w:sz w:val="22"/>
                <w:szCs w:val="22"/>
                <w:lang w:eastAsia="en-US"/>
              </w:rPr>
            </w:pPr>
            <w:r w:rsidRPr="00B64510">
              <w:rPr>
                <w:rFonts w:asciiTheme="minorHAnsi" w:eastAsiaTheme="minorHAnsi" w:hAnsiTheme="minorHAnsi" w:cstheme="minorHAnsi"/>
                <w:b/>
                <w:bCs/>
                <w:sz w:val="22"/>
                <w:szCs w:val="22"/>
                <w:lang w:eastAsia="en-US"/>
              </w:rPr>
              <w:t>n</w:t>
            </w:r>
          </w:p>
        </w:tc>
        <w:tc>
          <w:tcPr>
            <w:tcW w:w="0" w:type="auto"/>
            <w:tcBorders>
              <w:top w:val="single" w:sz="8" w:space="0" w:color="auto"/>
              <w:bottom w:val="single" w:sz="8" w:space="0" w:color="auto"/>
            </w:tcBorders>
            <w:hideMark/>
          </w:tcPr>
          <w:p w14:paraId="16500F74" w14:textId="77777777" w:rsidR="00B64510" w:rsidRPr="00B64510" w:rsidRDefault="00B64510" w:rsidP="00837415">
            <w:pPr>
              <w:suppressAutoHyphens w:val="0"/>
              <w:ind w:firstLine="284"/>
              <w:rPr>
                <w:rFonts w:asciiTheme="minorHAnsi" w:eastAsiaTheme="minorHAnsi" w:hAnsiTheme="minorHAnsi" w:cstheme="minorHAnsi"/>
                <w:b/>
                <w:bCs/>
                <w:sz w:val="22"/>
                <w:szCs w:val="22"/>
                <w:lang w:eastAsia="en-US"/>
              </w:rPr>
            </w:pPr>
            <w:r w:rsidRPr="00B64510">
              <w:rPr>
                <w:rFonts w:asciiTheme="minorHAnsi" w:eastAsiaTheme="minorHAnsi" w:hAnsiTheme="minorHAnsi" w:cstheme="minorHAnsi"/>
                <w:b/>
                <w:bCs/>
                <w:sz w:val="22"/>
                <w:szCs w:val="22"/>
                <w:lang w:eastAsia="en-US"/>
              </w:rPr>
              <w:t>%</w:t>
            </w:r>
          </w:p>
        </w:tc>
      </w:tr>
      <w:tr w:rsidR="00B64510" w:rsidRPr="00B64510" w14:paraId="18033199" w14:textId="77777777" w:rsidTr="00837415">
        <w:trPr>
          <w:tblCellSpacing w:w="15" w:type="dxa"/>
          <w:jc w:val="center"/>
        </w:trPr>
        <w:tc>
          <w:tcPr>
            <w:tcW w:w="0" w:type="auto"/>
            <w:hideMark/>
          </w:tcPr>
          <w:p w14:paraId="3F666CD1" w14:textId="77777777" w:rsidR="00B64510" w:rsidRPr="00B64510" w:rsidRDefault="00B64510" w:rsidP="00837415">
            <w:pPr>
              <w:suppressAutoHyphens w:val="0"/>
              <w:ind w:firstLine="284"/>
              <w:rPr>
                <w:rFonts w:asciiTheme="minorHAnsi" w:eastAsiaTheme="minorHAnsi" w:hAnsiTheme="minorHAnsi" w:cstheme="minorHAnsi"/>
                <w:sz w:val="22"/>
                <w:szCs w:val="22"/>
                <w:lang w:eastAsia="en-US"/>
              </w:rPr>
            </w:pPr>
            <w:proofErr w:type="spellStart"/>
            <w:r w:rsidRPr="00B64510">
              <w:rPr>
                <w:rFonts w:asciiTheme="minorHAnsi" w:eastAsiaTheme="minorHAnsi" w:hAnsiTheme="minorHAnsi" w:cstheme="minorHAnsi"/>
                <w:sz w:val="22"/>
                <w:szCs w:val="22"/>
                <w:lang w:eastAsia="en-US"/>
              </w:rPr>
              <w:t>Advisory</w:t>
            </w:r>
            <w:proofErr w:type="spellEnd"/>
            <w:r w:rsidRPr="00B64510">
              <w:rPr>
                <w:rFonts w:asciiTheme="minorHAnsi" w:eastAsiaTheme="minorHAnsi" w:hAnsiTheme="minorHAnsi" w:cstheme="minorHAnsi"/>
                <w:sz w:val="22"/>
                <w:szCs w:val="22"/>
                <w:lang w:eastAsia="en-US"/>
              </w:rPr>
              <w:t xml:space="preserve"> </w:t>
            </w:r>
            <w:proofErr w:type="spellStart"/>
            <w:r w:rsidRPr="00B64510">
              <w:rPr>
                <w:rFonts w:asciiTheme="minorHAnsi" w:eastAsiaTheme="minorHAnsi" w:hAnsiTheme="minorHAnsi" w:cstheme="minorHAnsi"/>
                <w:sz w:val="22"/>
                <w:szCs w:val="22"/>
                <w:lang w:eastAsia="en-US"/>
              </w:rPr>
              <w:t>support</w:t>
            </w:r>
            <w:proofErr w:type="spellEnd"/>
          </w:p>
        </w:tc>
        <w:tc>
          <w:tcPr>
            <w:tcW w:w="0" w:type="auto"/>
            <w:hideMark/>
          </w:tcPr>
          <w:p w14:paraId="57696EBB" w14:textId="77777777" w:rsidR="00B64510" w:rsidRPr="00B64510" w:rsidRDefault="00B64510" w:rsidP="00837415">
            <w:pPr>
              <w:suppressAutoHyphens w:val="0"/>
              <w:ind w:firstLine="284"/>
              <w:rPr>
                <w:rFonts w:asciiTheme="minorHAnsi" w:eastAsiaTheme="minorHAnsi" w:hAnsiTheme="minorHAnsi" w:cstheme="minorHAnsi"/>
                <w:sz w:val="22"/>
                <w:szCs w:val="22"/>
                <w:lang w:eastAsia="en-US"/>
              </w:rPr>
            </w:pPr>
            <w:r w:rsidRPr="00B64510">
              <w:rPr>
                <w:rFonts w:asciiTheme="minorHAnsi" w:eastAsiaTheme="minorHAnsi" w:hAnsiTheme="minorHAnsi" w:cstheme="minorHAnsi"/>
                <w:sz w:val="22"/>
                <w:szCs w:val="22"/>
                <w:lang w:eastAsia="en-US"/>
              </w:rPr>
              <w:t>178</w:t>
            </w:r>
          </w:p>
        </w:tc>
        <w:tc>
          <w:tcPr>
            <w:tcW w:w="0" w:type="auto"/>
            <w:hideMark/>
          </w:tcPr>
          <w:p w14:paraId="02C9EFDA" w14:textId="77777777" w:rsidR="00B64510" w:rsidRPr="00B64510" w:rsidRDefault="00B64510" w:rsidP="00837415">
            <w:pPr>
              <w:suppressAutoHyphens w:val="0"/>
              <w:ind w:firstLine="284"/>
              <w:rPr>
                <w:rFonts w:asciiTheme="minorHAnsi" w:eastAsiaTheme="minorHAnsi" w:hAnsiTheme="minorHAnsi" w:cstheme="minorHAnsi"/>
                <w:sz w:val="22"/>
                <w:szCs w:val="22"/>
                <w:lang w:eastAsia="en-US"/>
              </w:rPr>
            </w:pPr>
            <w:r w:rsidRPr="00B64510">
              <w:rPr>
                <w:rFonts w:asciiTheme="minorHAnsi" w:eastAsiaTheme="minorHAnsi" w:hAnsiTheme="minorHAnsi" w:cstheme="minorHAnsi"/>
                <w:sz w:val="22"/>
                <w:szCs w:val="22"/>
                <w:lang w:eastAsia="en-US"/>
              </w:rPr>
              <w:t>80.5</w:t>
            </w:r>
          </w:p>
        </w:tc>
      </w:tr>
      <w:tr w:rsidR="00B64510" w:rsidRPr="00B64510" w14:paraId="673C352F" w14:textId="77777777" w:rsidTr="00837415">
        <w:trPr>
          <w:tblCellSpacing w:w="15" w:type="dxa"/>
          <w:jc w:val="center"/>
        </w:trPr>
        <w:tc>
          <w:tcPr>
            <w:tcW w:w="0" w:type="auto"/>
            <w:hideMark/>
          </w:tcPr>
          <w:p w14:paraId="4D92854A" w14:textId="77777777" w:rsidR="00B64510" w:rsidRPr="00B64510" w:rsidRDefault="00B64510" w:rsidP="00837415">
            <w:pPr>
              <w:suppressAutoHyphens w:val="0"/>
              <w:ind w:firstLine="284"/>
              <w:rPr>
                <w:rFonts w:asciiTheme="minorHAnsi" w:eastAsiaTheme="minorHAnsi" w:hAnsiTheme="minorHAnsi" w:cstheme="minorHAnsi"/>
                <w:sz w:val="22"/>
                <w:szCs w:val="22"/>
                <w:lang w:eastAsia="en-US"/>
              </w:rPr>
            </w:pPr>
            <w:proofErr w:type="spellStart"/>
            <w:r w:rsidRPr="00B64510">
              <w:rPr>
                <w:rFonts w:asciiTheme="minorHAnsi" w:eastAsiaTheme="minorHAnsi" w:hAnsiTheme="minorHAnsi" w:cstheme="minorHAnsi"/>
                <w:sz w:val="22"/>
                <w:szCs w:val="22"/>
                <w:lang w:eastAsia="en-US"/>
              </w:rPr>
              <w:t>Pedagogical</w:t>
            </w:r>
            <w:proofErr w:type="spellEnd"/>
            <w:r w:rsidRPr="00B64510">
              <w:rPr>
                <w:rFonts w:asciiTheme="minorHAnsi" w:eastAsiaTheme="minorHAnsi" w:hAnsiTheme="minorHAnsi" w:cstheme="minorHAnsi"/>
                <w:sz w:val="22"/>
                <w:szCs w:val="22"/>
                <w:lang w:eastAsia="en-US"/>
              </w:rPr>
              <w:t xml:space="preserve"> </w:t>
            </w:r>
            <w:proofErr w:type="spellStart"/>
            <w:r w:rsidRPr="00B64510">
              <w:rPr>
                <w:rFonts w:asciiTheme="minorHAnsi" w:eastAsiaTheme="minorHAnsi" w:hAnsiTheme="minorHAnsi" w:cstheme="minorHAnsi"/>
                <w:sz w:val="22"/>
                <w:szCs w:val="22"/>
                <w:lang w:eastAsia="en-US"/>
              </w:rPr>
              <w:t>guidance</w:t>
            </w:r>
            <w:proofErr w:type="spellEnd"/>
          </w:p>
        </w:tc>
        <w:tc>
          <w:tcPr>
            <w:tcW w:w="0" w:type="auto"/>
            <w:hideMark/>
          </w:tcPr>
          <w:p w14:paraId="09103609" w14:textId="77777777" w:rsidR="00B64510" w:rsidRPr="00B64510" w:rsidRDefault="00B64510" w:rsidP="00837415">
            <w:pPr>
              <w:suppressAutoHyphens w:val="0"/>
              <w:ind w:firstLine="284"/>
              <w:rPr>
                <w:rFonts w:asciiTheme="minorHAnsi" w:eastAsiaTheme="minorHAnsi" w:hAnsiTheme="minorHAnsi" w:cstheme="minorHAnsi"/>
                <w:sz w:val="22"/>
                <w:szCs w:val="22"/>
                <w:lang w:eastAsia="en-US"/>
              </w:rPr>
            </w:pPr>
            <w:r w:rsidRPr="00B64510">
              <w:rPr>
                <w:rFonts w:asciiTheme="minorHAnsi" w:eastAsiaTheme="minorHAnsi" w:hAnsiTheme="minorHAnsi" w:cstheme="minorHAnsi"/>
                <w:sz w:val="22"/>
                <w:szCs w:val="22"/>
                <w:lang w:eastAsia="en-US"/>
              </w:rPr>
              <w:t>148</w:t>
            </w:r>
          </w:p>
        </w:tc>
        <w:tc>
          <w:tcPr>
            <w:tcW w:w="0" w:type="auto"/>
            <w:hideMark/>
          </w:tcPr>
          <w:p w14:paraId="4DF5BC0E" w14:textId="77777777" w:rsidR="00B64510" w:rsidRPr="00B64510" w:rsidRDefault="00B64510" w:rsidP="00837415">
            <w:pPr>
              <w:suppressAutoHyphens w:val="0"/>
              <w:ind w:firstLine="284"/>
              <w:rPr>
                <w:rFonts w:asciiTheme="minorHAnsi" w:eastAsiaTheme="minorHAnsi" w:hAnsiTheme="minorHAnsi" w:cstheme="minorHAnsi"/>
                <w:sz w:val="22"/>
                <w:szCs w:val="22"/>
                <w:lang w:eastAsia="en-US"/>
              </w:rPr>
            </w:pPr>
            <w:r w:rsidRPr="00B64510">
              <w:rPr>
                <w:rFonts w:asciiTheme="minorHAnsi" w:eastAsiaTheme="minorHAnsi" w:hAnsiTheme="minorHAnsi" w:cstheme="minorHAnsi"/>
                <w:sz w:val="22"/>
                <w:szCs w:val="22"/>
                <w:lang w:eastAsia="en-US"/>
              </w:rPr>
              <w:t>67.0</w:t>
            </w:r>
          </w:p>
        </w:tc>
      </w:tr>
      <w:tr w:rsidR="00B64510" w:rsidRPr="00B64510" w14:paraId="5447AB5E" w14:textId="77777777" w:rsidTr="00837415">
        <w:trPr>
          <w:tblCellSpacing w:w="15" w:type="dxa"/>
          <w:jc w:val="center"/>
        </w:trPr>
        <w:tc>
          <w:tcPr>
            <w:tcW w:w="0" w:type="auto"/>
            <w:hideMark/>
          </w:tcPr>
          <w:p w14:paraId="0BD12C96" w14:textId="77777777" w:rsidR="00B64510" w:rsidRPr="00B64510" w:rsidRDefault="00B64510" w:rsidP="00837415">
            <w:pPr>
              <w:suppressAutoHyphens w:val="0"/>
              <w:ind w:firstLine="284"/>
              <w:rPr>
                <w:rFonts w:asciiTheme="minorHAnsi" w:eastAsiaTheme="minorHAnsi" w:hAnsiTheme="minorHAnsi" w:cstheme="minorHAnsi"/>
                <w:sz w:val="22"/>
                <w:szCs w:val="22"/>
                <w:lang w:eastAsia="en-US"/>
              </w:rPr>
            </w:pPr>
            <w:proofErr w:type="spellStart"/>
            <w:r w:rsidRPr="00B64510">
              <w:rPr>
                <w:rFonts w:asciiTheme="minorHAnsi" w:eastAsiaTheme="minorHAnsi" w:hAnsiTheme="minorHAnsi" w:cstheme="minorHAnsi"/>
                <w:sz w:val="22"/>
                <w:szCs w:val="22"/>
                <w:lang w:eastAsia="en-US"/>
              </w:rPr>
              <w:t>Feedback</w:t>
            </w:r>
            <w:proofErr w:type="spellEnd"/>
            <w:r w:rsidRPr="00B64510">
              <w:rPr>
                <w:rFonts w:asciiTheme="minorHAnsi" w:eastAsiaTheme="minorHAnsi" w:hAnsiTheme="minorHAnsi" w:cstheme="minorHAnsi"/>
                <w:sz w:val="22"/>
                <w:szCs w:val="22"/>
                <w:lang w:eastAsia="en-US"/>
              </w:rPr>
              <w:t xml:space="preserve"> on </w:t>
            </w:r>
            <w:proofErr w:type="spellStart"/>
            <w:r w:rsidRPr="00B64510">
              <w:rPr>
                <w:rFonts w:asciiTheme="minorHAnsi" w:eastAsiaTheme="minorHAnsi" w:hAnsiTheme="minorHAnsi" w:cstheme="minorHAnsi"/>
                <w:sz w:val="22"/>
                <w:szCs w:val="22"/>
                <w:lang w:eastAsia="en-US"/>
              </w:rPr>
              <w:t>implementation</w:t>
            </w:r>
            <w:proofErr w:type="spellEnd"/>
            <w:r w:rsidRPr="00B64510">
              <w:rPr>
                <w:rFonts w:asciiTheme="minorHAnsi" w:eastAsiaTheme="minorHAnsi" w:hAnsiTheme="minorHAnsi" w:cstheme="minorHAnsi"/>
                <w:sz w:val="22"/>
                <w:szCs w:val="22"/>
                <w:lang w:eastAsia="en-US"/>
              </w:rPr>
              <w:t>/</w:t>
            </w:r>
            <w:proofErr w:type="spellStart"/>
            <w:r w:rsidRPr="00B64510">
              <w:rPr>
                <w:rFonts w:asciiTheme="minorHAnsi" w:eastAsiaTheme="minorHAnsi" w:hAnsiTheme="minorHAnsi" w:cstheme="minorHAnsi"/>
                <w:sz w:val="22"/>
                <w:szCs w:val="22"/>
                <w:lang w:eastAsia="en-US"/>
              </w:rPr>
              <w:t>teaching</w:t>
            </w:r>
            <w:proofErr w:type="spellEnd"/>
          </w:p>
        </w:tc>
        <w:tc>
          <w:tcPr>
            <w:tcW w:w="0" w:type="auto"/>
            <w:hideMark/>
          </w:tcPr>
          <w:p w14:paraId="72A8282B" w14:textId="77777777" w:rsidR="00B64510" w:rsidRPr="00B64510" w:rsidRDefault="00B64510" w:rsidP="00837415">
            <w:pPr>
              <w:suppressAutoHyphens w:val="0"/>
              <w:ind w:firstLine="284"/>
              <w:rPr>
                <w:rFonts w:asciiTheme="minorHAnsi" w:eastAsiaTheme="minorHAnsi" w:hAnsiTheme="minorHAnsi" w:cstheme="minorHAnsi"/>
                <w:sz w:val="22"/>
                <w:szCs w:val="22"/>
                <w:lang w:eastAsia="en-US"/>
              </w:rPr>
            </w:pPr>
            <w:r w:rsidRPr="00B64510">
              <w:rPr>
                <w:rFonts w:asciiTheme="minorHAnsi" w:eastAsiaTheme="minorHAnsi" w:hAnsiTheme="minorHAnsi" w:cstheme="minorHAnsi"/>
                <w:sz w:val="22"/>
                <w:szCs w:val="22"/>
                <w:lang w:eastAsia="en-US"/>
              </w:rPr>
              <w:t>144</w:t>
            </w:r>
          </w:p>
        </w:tc>
        <w:tc>
          <w:tcPr>
            <w:tcW w:w="0" w:type="auto"/>
            <w:hideMark/>
          </w:tcPr>
          <w:p w14:paraId="3819E3DF" w14:textId="77777777" w:rsidR="00B64510" w:rsidRPr="00B64510" w:rsidRDefault="00B64510" w:rsidP="00837415">
            <w:pPr>
              <w:suppressAutoHyphens w:val="0"/>
              <w:ind w:firstLine="284"/>
              <w:rPr>
                <w:rFonts w:asciiTheme="minorHAnsi" w:eastAsiaTheme="minorHAnsi" w:hAnsiTheme="minorHAnsi" w:cstheme="minorHAnsi"/>
                <w:sz w:val="22"/>
                <w:szCs w:val="22"/>
                <w:lang w:eastAsia="en-US"/>
              </w:rPr>
            </w:pPr>
            <w:r w:rsidRPr="00B64510">
              <w:rPr>
                <w:rFonts w:asciiTheme="minorHAnsi" w:eastAsiaTheme="minorHAnsi" w:hAnsiTheme="minorHAnsi" w:cstheme="minorHAnsi"/>
                <w:sz w:val="22"/>
                <w:szCs w:val="22"/>
                <w:lang w:eastAsia="en-US"/>
              </w:rPr>
              <w:t>65.2</w:t>
            </w:r>
          </w:p>
        </w:tc>
      </w:tr>
      <w:tr w:rsidR="00B64510" w:rsidRPr="00B64510" w14:paraId="71804C7E" w14:textId="77777777" w:rsidTr="00837415">
        <w:trPr>
          <w:tblCellSpacing w:w="15" w:type="dxa"/>
          <w:jc w:val="center"/>
        </w:trPr>
        <w:tc>
          <w:tcPr>
            <w:tcW w:w="0" w:type="auto"/>
            <w:hideMark/>
          </w:tcPr>
          <w:p w14:paraId="5C860851" w14:textId="77777777" w:rsidR="00B64510" w:rsidRPr="00B64510" w:rsidRDefault="00B64510" w:rsidP="00837415">
            <w:pPr>
              <w:suppressAutoHyphens w:val="0"/>
              <w:ind w:firstLine="284"/>
              <w:rPr>
                <w:rFonts w:asciiTheme="minorHAnsi" w:eastAsiaTheme="minorHAnsi" w:hAnsiTheme="minorHAnsi" w:cstheme="minorHAnsi"/>
                <w:sz w:val="22"/>
                <w:szCs w:val="22"/>
                <w:lang w:val="en-US" w:eastAsia="en-US"/>
              </w:rPr>
            </w:pPr>
            <w:r w:rsidRPr="00B64510">
              <w:rPr>
                <w:rFonts w:asciiTheme="minorHAnsi" w:eastAsiaTheme="minorHAnsi" w:hAnsiTheme="minorHAnsi" w:cstheme="minorHAnsi"/>
                <w:sz w:val="22"/>
                <w:szCs w:val="22"/>
                <w:lang w:val="en-US" w:eastAsia="en-US"/>
              </w:rPr>
              <w:t>Feedback on lesson plans/designs</w:t>
            </w:r>
          </w:p>
        </w:tc>
        <w:tc>
          <w:tcPr>
            <w:tcW w:w="0" w:type="auto"/>
            <w:hideMark/>
          </w:tcPr>
          <w:p w14:paraId="1CF9FD18" w14:textId="77777777" w:rsidR="00B64510" w:rsidRPr="00B64510" w:rsidRDefault="00B64510" w:rsidP="00837415">
            <w:pPr>
              <w:suppressAutoHyphens w:val="0"/>
              <w:ind w:firstLine="284"/>
              <w:rPr>
                <w:rFonts w:asciiTheme="minorHAnsi" w:eastAsiaTheme="minorHAnsi" w:hAnsiTheme="minorHAnsi" w:cstheme="minorHAnsi"/>
                <w:sz w:val="22"/>
                <w:szCs w:val="22"/>
                <w:lang w:eastAsia="en-US"/>
              </w:rPr>
            </w:pPr>
            <w:r w:rsidRPr="00B64510">
              <w:rPr>
                <w:rFonts w:asciiTheme="minorHAnsi" w:eastAsiaTheme="minorHAnsi" w:hAnsiTheme="minorHAnsi" w:cstheme="minorHAnsi"/>
                <w:sz w:val="22"/>
                <w:szCs w:val="22"/>
                <w:lang w:eastAsia="en-US"/>
              </w:rPr>
              <w:t>131</w:t>
            </w:r>
          </w:p>
        </w:tc>
        <w:tc>
          <w:tcPr>
            <w:tcW w:w="0" w:type="auto"/>
            <w:hideMark/>
          </w:tcPr>
          <w:p w14:paraId="3D6F4A40" w14:textId="77777777" w:rsidR="00B64510" w:rsidRPr="00B64510" w:rsidRDefault="00B64510" w:rsidP="00837415">
            <w:pPr>
              <w:suppressAutoHyphens w:val="0"/>
              <w:ind w:firstLine="284"/>
              <w:rPr>
                <w:rFonts w:asciiTheme="minorHAnsi" w:eastAsiaTheme="minorHAnsi" w:hAnsiTheme="minorHAnsi" w:cstheme="minorHAnsi"/>
                <w:sz w:val="22"/>
                <w:szCs w:val="22"/>
                <w:lang w:eastAsia="en-US"/>
              </w:rPr>
            </w:pPr>
            <w:r w:rsidRPr="00B64510">
              <w:rPr>
                <w:rFonts w:asciiTheme="minorHAnsi" w:eastAsiaTheme="minorHAnsi" w:hAnsiTheme="minorHAnsi" w:cstheme="minorHAnsi"/>
                <w:sz w:val="22"/>
                <w:szCs w:val="22"/>
                <w:lang w:eastAsia="en-US"/>
              </w:rPr>
              <w:t>59.3</w:t>
            </w:r>
          </w:p>
        </w:tc>
      </w:tr>
      <w:tr w:rsidR="00B64510" w:rsidRPr="00B64510" w14:paraId="172930CA" w14:textId="77777777" w:rsidTr="00837415">
        <w:trPr>
          <w:tblCellSpacing w:w="15" w:type="dxa"/>
          <w:jc w:val="center"/>
        </w:trPr>
        <w:tc>
          <w:tcPr>
            <w:tcW w:w="0" w:type="auto"/>
            <w:hideMark/>
          </w:tcPr>
          <w:p w14:paraId="62037668" w14:textId="54070175" w:rsidR="00B64510" w:rsidRPr="00B64510" w:rsidRDefault="00B64510" w:rsidP="00837415">
            <w:pPr>
              <w:suppressAutoHyphens w:val="0"/>
              <w:ind w:firstLine="284"/>
              <w:rPr>
                <w:rFonts w:asciiTheme="minorHAnsi" w:eastAsiaTheme="minorHAnsi" w:hAnsiTheme="minorHAnsi" w:cstheme="minorHAnsi"/>
                <w:sz w:val="22"/>
                <w:szCs w:val="22"/>
                <w:lang w:val="en-US" w:eastAsia="en-US"/>
              </w:rPr>
            </w:pPr>
            <w:proofErr w:type="spellStart"/>
            <w:r w:rsidRPr="00B64510">
              <w:rPr>
                <w:rFonts w:asciiTheme="minorHAnsi" w:eastAsiaTheme="minorHAnsi" w:hAnsiTheme="minorHAnsi" w:cstheme="minorHAnsi"/>
                <w:sz w:val="22"/>
                <w:szCs w:val="22"/>
                <w:lang w:eastAsia="en-US"/>
              </w:rPr>
              <w:t>Suggestions</w:t>
            </w:r>
            <w:proofErr w:type="spellEnd"/>
            <w:r w:rsidRPr="00B64510">
              <w:rPr>
                <w:rFonts w:asciiTheme="minorHAnsi" w:eastAsiaTheme="minorHAnsi" w:hAnsiTheme="minorHAnsi" w:cstheme="minorHAnsi"/>
                <w:sz w:val="22"/>
                <w:szCs w:val="22"/>
                <w:lang w:eastAsia="en-US"/>
              </w:rPr>
              <w:t xml:space="preserve"> for </w:t>
            </w:r>
            <w:r w:rsidR="00837415">
              <w:rPr>
                <w:rFonts w:asciiTheme="minorHAnsi" w:eastAsiaTheme="minorHAnsi" w:hAnsiTheme="minorHAnsi" w:cstheme="minorHAnsi"/>
                <w:sz w:val="22"/>
                <w:szCs w:val="22"/>
                <w:lang w:val="en-US" w:eastAsia="en-US"/>
              </w:rPr>
              <w:t>teaching activities</w:t>
            </w:r>
          </w:p>
        </w:tc>
        <w:tc>
          <w:tcPr>
            <w:tcW w:w="0" w:type="auto"/>
            <w:hideMark/>
          </w:tcPr>
          <w:p w14:paraId="39E25EB4" w14:textId="77777777" w:rsidR="00B64510" w:rsidRPr="00B64510" w:rsidRDefault="00B64510" w:rsidP="00837415">
            <w:pPr>
              <w:suppressAutoHyphens w:val="0"/>
              <w:ind w:firstLine="284"/>
              <w:rPr>
                <w:rFonts w:asciiTheme="minorHAnsi" w:eastAsiaTheme="minorHAnsi" w:hAnsiTheme="minorHAnsi" w:cstheme="minorHAnsi"/>
                <w:sz w:val="22"/>
                <w:szCs w:val="22"/>
                <w:lang w:eastAsia="en-US"/>
              </w:rPr>
            </w:pPr>
            <w:r w:rsidRPr="00B64510">
              <w:rPr>
                <w:rFonts w:asciiTheme="minorHAnsi" w:eastAsiaTheme="minorHAnsi" w:hAnsiTheme="minorHAnsi" w:cstheme="minorHAnsi"/>
                <w:sz w:val="22"/>
                <w:szCs w:val="22"/>
                <w:lang w:eastAsia="en-US"/>
              </w:rPr>
              <w:t>118</w:t>
            </w:r>
          </w:p>
        </w:tc>
        <w:tc>
          <w:tcPr>
            <w:tcW w:w="0" w:type="auto"/>
            <w:hideMark/>
          </w:tcPr>
          <w:p w14:paraId="3C5800F3" w14:textId="77777777" w:rsidR="00B64510" w:rsidRPr="00B64510" w:rsidRDefault="00B64510" w:rsidP="00837415">
            <w:pPr>
              <w:suppressAutoHyphens w:val="0"/>
              <w:ind w:firstLine="284"/>
              <w:rPr>
                <w:rFonts w:asciiTheme="minorHAnsi" w:eastAsiaTheme="minorHAnsi" w:hAnsiTheme="minorHAnsi" w:cstheme="minorHAnsi"/>
                <w:sz w:val="22"/>
                <w:szCs w:val="22"/>
                <w:lang w:eastAsia="en-US"/>
              </w:rPr>
            </w:pPr>
            <w:r w:rsidRPr="00B64510">
              <w:rPr>
                <w:rFonts w:asciiTheme="minorHAnsi" w:eastAsiaTheme="minorHAnsi" w:hAnsiTheme="minorHAnsi" w:cstheme="minorHAnsi"/>
                <w:sz w:val="22"/>
                <w:szCs w:val="22"/>
                <w:lang w:eastAsia="en-US"/>
              </w:rPr>
              <w:t>53.4</w:t>
            </w:r>
          </w:p>
        </w:tc>
      </w:tr>
      <w:tr w:rsidR="00B64510" w:rsidRPr="00B64510" w14:paraId="5813EFFD" w14:textId="77777777" w:rsidTr="00837415">
        <w:trPr>
          <w:tblCellSpacing w:w="15" w:type="dxa"/>
          <w:jc w:val="center"/>
        </w:trPr>
        <w:tc>
          <w:tcPr>
            <w:tcW w:w="0" w:type="auto"/>
            <w:hideMark/>
          </w:tcPr>
          <w:p w14:paraId="224165F0" w14:textId="77777777" w:rsidR="00B64510" w:rsidRPr="00B64510" w:rsidRDefault="00B64510" w:rsidP="00837415">
            <w:pPr>
              <w:suppressAutoHyphens w:val="0"/>
              <w:ind w:firstLine="284"/>
              <w:rPr>
                <w:rFonts w:asciiTheme="minorHAnsi" w:eastAsiaTheme="minorHAnsi" w:hAnsiTheme="minorHAnsi" w:cstheme="minorHAnsi"/>
                <w:sz w:val="22"/>
                <w:szCs w:val="22"/>
                <w:lang w:eastAsia="en-US"/>
              </w:rPr>
            </w:pPr>
            <w:proofErr w:type="spellStart"/>
            <w:r w:rsidRPr="00B64510">
              <w:rPr>
                <w:rFonts w:asciiTheme="minorHAnsi" w:eastAsiaTheme="minorHAnsi" w:hAnsiTheme="minorHAnsi" w:cstheme="minorHAnsi"/>
                <w:sz w:val="22"/>
                <w:szCs w:val="22"/>
                <w:lang w:eastAsia="en-US"/>
              </w:rPr>
              <w:t>Emotional</w:t>
            </w:r>
            <w:proofErr w:type="spellEnd"/>
            <w:r w:rsidRPr="00B64510">
              <w:rPr>
                <w:rFonts w:asciiTheme="minorHAnsi" w:eastAsiaTheme="minorHAnsi" w:hAnsiTheme="minorHAnsi" w:cstheme="minorHAnsi"/>
                <w:sz w:val="22"/>
                <w:szCs w:val="22"/>
                <w:lang w:eastAsia="en-US"/>
              </w:rPr>
              <w:t>/</w:t>
            </w:r>
            <w:proofErr w:type="spellStart"/>
            <w:r w:rsidRPr="00B64510">
              <w:rPr>
                <w:rFonts w:asciiTheme="minorHAnsi" w:eastAsiaTheme="minorHAnsi" w:hAnsiTheme="minorHAnsi" w:cstheme="minorHAnsi"/>
                <w:sz w:val="22"/>
                <w:szCs w:val="22"/>
                <w:lang w:eastAsia="en-US"/>
              </w:rPr>
              <w:t>psychological</w:t>
            </w:r>
            <w:proofErr w:type="spellEnd"/>
            <w:r w:rsidRPr="00B64510">
              <w:rPr>
                <w:rFonts w:asciiTheme="minorHAnsi" w:eastAsiaTheme="minorHAnsi" w:hAnsiTheme="minorHAnsi" w:cstheme="minorHAnsi"/>
                <w:sz w:val="22"/>
                <w:szCs w:val="22"/>
                <w:lang w:eastAsia="en-US"/>
              </w:rPr>
              <w:t xml:space="preserve"> </w:t>
            </w:r>
            <w:proofErr w:type="spellStart"/>
            <w:r w:rsidRPr="00B64510">
              <w:rPr>
                <w:rFonts w:asciiTheme="minorHAnsi" w:eastAsiaTheme="minorHAnsi" w:hAnsiTheme="minorHAnsi" w:cstheme="minorHAnsi"/>
                <w:sz w:val="22"/>
                <w:szCs w:val="22"/>
                <w:lang w:eastAsia="en-US"/>
              </w:rPr>
              <w:t>support</w:t>
            </w:r>
            <w:proofErr w:type="spellEnd"/>
          </w:p>
        </w:tc>
        <w:tc>
          <w:tcPr>
            <w:tcW w:w="0" w:type="auto"/>
            <w:hideMark/>
          </w:tcPr>
          <w:p w14:paraId="41F076A3" w14:textId="77777777" w:rsidR="00B64510" w:rsidRPr="00B64510" w:rsidRDefault="00B64510" w:rsidP="00837415">
            <w:pPr>
              <w:suppressAutoHyphens w:val="0"/>
              <w:ind w:firstLine="284"/>
              <w:rPr>
                <w:rFonts w:asciiTheme="minorHAnsi" w:eastAsiaTheme="minorHAnsi" w:hAnsiTheme="minorHAnsi" w:cstheme="minorHAnsi"/>
                <w:sz w:val="22"/>
                <w:szCs w:val="22"/>
                <w:lang w:eastAsia="en-US"/>
              </w:rPr>
            </w:pPr>
            <w:r w:rsidRPr="00B64510">
              <w:rPr>
                <w:rFonts w:asciiTheme="minorHAnsi" w:eastAsiaTheme="minorHAnsi" w:hAnsiTheme="minorHAnsi" w:cstheme="minorHAnsi"/>
                <w:sz w:val="22"/>
                <w:szCs w:val="22"/>
                <w:lang w:eastAsia="en-US"/>
              </w:rPr>
              <w:t>90</w:t>
            </w:r>
          </w:p>
        </w:tc>
        <w:tc>
          <w:tcPr>
            <w:tcW w:w="0" w:type="auto"/>
            <w:hideMark/>
          </w:tcPr>
          <w:p w14:paraId="41042BDF" w14:textId="77777777" w:rsidR="00B64510" w:rsidRPr="00B64510" w:rsidRDefault="00B64510" w:rsidP="00837415">
            <w:pPr>
              <w:suppressAutoHyphens w:val="0"/>
              <w:ind w:firstLine="284"/>
              <w:rPr>
                <w:rFonts w:asciiTheme="minorHAnsi" w:eastAsiaTheme="minorHAnsi" w:hAnsiTheme="minorHAnsi" w:cstheme="minorHAnsi"/>
                <w:sz w:val="22"/>
                <w:szCs w:val="22"/>
                <w:lang w:eastAsia="en-US"/>
              </w:rPr>
            </w:pPr>
            <w:r w:rsidRPr="00B64510">
              <w:rPr>
                <w:rFonts w:asciiTheme="minorHAnsi" w:eastAsiaTheme="minorHAnsi" w:hAnsiTheme="minorHAnsi" w:cstheme="minorHAnsi"/>
                <w:sz w:val="22"/>
                <w:szCs w:val="22"/>
                <w:lang w:eastAsia="en-US"/>
              </w:rPr>
              <w:t>40.7</w:t>
            </w:r>
          </w:p>
        </w:tc>
      </w:tr>
      <w:tr w:rsidR="00B64510" w:rsidRPr="00B64510" w14:paraId="13465374" w14:textId="77777777" w:rsidTr="003262E0">
        <w:trPr>
          <w:tblCellSpacing w:w="15" w:type="dxa"/>
          <w:jc w:val="center"/>
        </w:trPr>
        <w:tc>
          <w:tcPr>
            <w:tcW w:w="0" w:type="auto"/>
            <w:tcBorders>
              <w:bottom w:val="single" w:sz="8" w:space="0" w:color="auto"/>
            </w:tcBorders>
            <w:hideMark/>
          </w:tcPr>
          <w:p w14:paraId="0FEA9EEB" w14:textId="77777777" w:rsidR="00B64510" w:rsidRPr="00B64510" w:rsidRDefault="00B64510" w:rsidP="00837415">
            <w:pPr>
              <w:suppressAutoHyphens w:val="0"/>
              <w:ind w:firstLine="284"/>
              <w:rPr>
                <w:rFonts w:asciiTheme="minorHAnsi" w:eastAsiaTheme="minorHAnsi" w:hAnsiTheme="minorHAnsi" w:cstheme="minorHAnsi"/>
                <w:sz w:val="22"/>
                <w:szCs w:val="22"/>
                <w:lang w:eastAsia="en-US"/>
              </w:rPr>
            </w:pPr>
            <w:proofErr w:type="spellStart"/>
            <w:r w:rsidRPr="00B64510">
              <w:rPr>
                <w:rFonts w:asciiTheme="minorHAnsi" w:eastAsiaTheme="minorHAnsi" w:hAnsiTheme="minorHAnsi" w:cstheme="minorHAnsi"/>
                <w:sz w:val="22"/>
                <w:szCs w:val="22"/>
                <w:lang w:eastAsia="en-US"/>
              </w:rPr>
              <w:t>Provision</w:t>
            </w:r>
            <w:proofErr w:type="spellEnd"/>
            <w:r w:rsidRPr="00B64510">
              <w:rPr>
                <w:rFonts w:asciiTheme="minorHAnsi" w:eastAsiaTheme="minorHAnsi" w:hAnsiTheme="minorHAnsi" w:cstheme="minorHAnsi"/>
                <w:sz w:val="22"/>
                <w:szCs w:val="22"/>
                <w:lang w:eastAsia="en-US"/>
              </w:rPr>
              <w:t xml:space="preserve"> of </w:t>
            </w:r>
            <w:proofErr w:type="spellStart"/>
            <w:r w:rsidRPr="00B64510">
              <w:rPr>
                <w:rFonts w:asciiTheme="minorHAnsi" w:eastAsiaTheme="minorHAnsi" w:hAnsiTheme="minorHAnsi" w:cstheme="minorHAnsi"/>
                <w:sz w:val="22"/>
                <w:szCs w:val="22"/>
                <w:lang w:eastAsia="en-US"/>
              </w:rPr>
              <w:t>teaching</w:t>
            </w:r>
            <w:proofErr w:type="spellEnd"/>
            <w:r w:rsidRPr="00B64510">
              <w:rPr>
                <w:rFonts w:asciiTheme="minorHAnsi" w:eastAsiaTheme="minorHAnsi" w:hAnsiTheme="minorHAnsi" w:cstheme="minorHAnsi"/>
                <w:sz w:val="22"/>
                <w:szCs w:val="22"/>
                <w:lang w:eastAsia="en-US"/>
              </w:rPr>
              <w:t xml:space="preserve"> </w:t>
            </w:r>
            <w:proofErr w:type="spellStart"/>
            <w:r w:rsidRPr="00B64510">
              <w:rPr>
                <w:rFonts w:asciiTheme="minorHAnsi" w:eastAsiaTheme="minorHAnsi" w:hAnsiTheme="minorHAnsi" w:cstheme="minorHAnsi"/>
                <w:sz w:val="22"/>
                <w:szCs w:val="22"/>
                <w:lang w:eastAsia="en-US"/>
              </w:rPr>
              <w:t>materials</w:t>
            </w:r>
            <w:proofErr w:type="spellEnd"/>
          </w:p>
        </w:tc>
        <w:tc>
          <w:tcPr>
            <w:tcW w:w="0" w:type="auto"/>
            <w:tcBorders>
              <w:bottom w:val="single" w:sz="8" w:space="0" w:color="auto"/>
            </w:tcBorders>
            <w:hideMark/>
          </w:tcPr>
          <w:p w14:paraId="36DF6754" w14:textId="77777777" w:rsidR="00B64510" w:rsidRPr="00B64510" w:rsidRDefault="00B64510" w:rsidP="00837415">
            <w:pPr>
              <w:suppressAutoHyphens w:val="0"/>
              <w:ind w:firstLine="284"/>
              <w:rPr>
                <w:rFonts w:asciiTheme="minorHAnsi" w:eastAsiaTheme="minorHAnsi" w:hAnsiTheme="minorHAnsi" w:cstheme="minorHAnsi"/>
                <w:sz w:val="22"/>
                <w:szCs w:val="22"/>
                <w:lang w:eastAsia="en-US"/>
              </w:rPr>
            </w:pPr>
            <w:r w:rsidRPr="00B64510">
              <w:rPr>
                <w:rFonts w:asciiTheme="minorHAnsi" w:eastAsiaTheme="minorHAnsi" w:hAnsiTheme="minorHAnsi" w:cstheme="minorHAnsi"/>
                <w:sz w:val="22"/>
                <w:szCs w:val="22"/>
                <w:lang w:eastAsia="en-US"/>
              </w:rPr>
              <w:t>81</w:t>
            </w:r>
          </w:p>
        </w:tc>
        <w:tc>
          <w:tcPr>
            <w:tcW w:w="0" w:type="auto"/>
            <w:tcBorders>
              <w:bottom w:val="single" w:sz="8" w:space="0" w:color="auto"/>
            </w:tcBorders>
            <w:hideMark/>
          </w:tcPr>
          <w:p w14:paraId="338BBFB5" w14:textId="77777777" w:rsidR="00B64510" w:rsidRPr="00B64510" w:rsidRDefault="00B64510" w:rsidP="00837415">
            <w:pPr>
              <w:suppressAutoHyphens w:val="0"/>
              <w:ind w:firstLine="284"/>
              <w:rPr>
                <w:rFonts w:asciiTheme="minorHAnsi" w:eastAsiaTheme="minorHAnsi" w:hAnsiTheme="minorHAnsi" w:cstheme="minorHAnsi"/>
                <w:sz w:val="22"/>
                <w:szCs w:val="22"/>
                <w:lang w:eastAsia="en-US"/>
              </w:rPr>
            </w:pPr>
            <w:r w:rsidRPr="00B64510">
              <w:rPr>
                <w:rFonts w:asciiTheme="minorHAnsi" w:eastAsiaTheme="minorHAnsi" w:hAnsiTheme="minorHAnsi" w:cstheme="minorHAnsi"/>
                <w:sz w:val="22"/>
                <w:szCs w:val="22"/>
                <w:lang w:eastAsia="en-US"/>
              </w:rPr>
              <w:t>36.7</w:t>
            </w:r>
          </w:p>
        </w:tc>
      </w:tr>
    </w:tbl>
    <w:p w14:paraId="146A8B46" w14:textId="77777777" w:rsidR="00837415" w:rsidRDefault="00837415" w:rsidP="00837415">
      <w:pPr>
        <w:suppressAutoHyphens w:val="0"/>
        <w:ind w:firstLine="284"/>
        <w:jc w:val="both"/>
        <w:rPr>
          <w:rFonts w:asciiTheme="minorHAnsi" w:hAnsiTheme="minorHAnsi" w:cstheme="minorHAnsi"/>
          <w:sz w:val="22"/>
          <w:szCs w:val="22"/>
          <w:lang w:val="en-US" w:eastAsia="el-GR"/>
        </w:rPr>
      </w:pPr>
    </w:p>
    <w:p w14:paraId="0BFC54AC" w14:textId="5B99D5EF" w:rsidR="00B64510" w:rsidRPr="00B64510" w:rsidRDefault="00B64510" w:rsidP="00837415">
      <w:pPr>
        <w:suppressAutoHyphens w:val="0"/>
        <w:ind w:firstLine="284"/>
        <w:jc w:val="both"/>
        <w:rPr>
          <w:rFonts w:asciiTheme="minorHAnsi" w:hAnsiTheme="minorHAnsi" w:cstheme="minorHAnsi"/>
          <w:sz w:val="22"/>
          <w:szCs w:val="22"/>
          <w:lang w:val="en-US" w:eastAsia="el-GR"/>
        </w:rPr>
      </w:pPr>
      <w:r w:rsidRPr="00B64510">
        <w:rPr>
          <w:rFonts w:asciiTheme="minorHAnsi" w:hAnsiTheme="minorHAnsi" w:cstheme="minorHAnsi"/>
          <w:sz w:val="22"/>
          <w:szCs w:val="22"/>
          <w:lang w:val="en-US" w:eastAsia="el-GR"/>
        </w:rPr>
        <w:t xml:space="preserve">Regarding the timing of the initiation of collaboration with the supervisor, responses were distributed almost evenly among an </w:t>
      </w:r>
      <w:r w:rsidRPr="00B64510">
        <w:rPr>
          <w:rFonts w:asciiTheme="minorHAnsi" w:hAnsiTheme="minorHAnsi" w:cstheme="minorHAnsi"/>
          <w:bCs/>
          <w:sz w:val="22"/>
          <w:szCs w:val="22"/>
          <w:lang w:val="en-US" w:eastAsia="el-GR"/>
        </w:rPr>
        <w:t xml:space="preserve">early start </w:t>
      </w:r>
      <w:r w:rsidRPr="00B64510">
        <w:rPr>
          <w:rFonts w:asciiTheme="minorHAnsi" w:hAnsiTheme="minorHAnsi" w:cstheme="minorHAnsi"/>
          <w:sz w:val="22"/>
          <w:szCs w:val="22"/>
          <w:lang w:val="en-US" w:eastAsia="el-GR"/>
        </w:rPr>
        <w:t>(</w:t>
      </w:r>
      <w:r w:rsidRPr="00837415">
        <w:rPr>
          <w:rFonts w:asciiTheme="minorHAnsi" w:hAnsiTheme="minorHAnsi" w:cstheme="minorHAnsi"/>
          <w:bCs/>
          <w:sz w:val="22"/>
          <w:szCs w:val="22"/>
          <w:lang w:val="en-US" w:eastAsia="el-GR"/>
        </w:rPr>
        <w:t>semesters 1–4</w:t>
      </w:r>
      <w:r w:rsidRPr="00B64510">
        <w:rPr>
          <w:rFonts w:asciiTheme="minorHAnsi" w:hAnsiTheme="minorHAnsi" w:cstheme="minorHAnsi"/>
          <w:sz w:val="22"/>
          <w:szCs w:val="22"/>
          <w:lang w:val="en-US" w:eastAsia="el-GR"/>
        </w:rPr>
        <w:t xml:space="preserve">, </w:t>
      </w:r>
      <w:r w:rsidRPr="00837415">
        <w:rPr>
          <w:rFonts w:asciiTheme="minorHAnsi" w:eastAsiaTheme="majorEastAsia" w:hAnsiTheme="minorHAnsi" w:cstheme="minorHAnsi"/>
          <w:iCs/>
          <w:sz w:val="22"/>
          <w:szCs w:val="22"/>
          <w:lang w:val="en-US" w:eastAsia="el-GR"/>
        </w:rPr>
        <w:t>n</w:t>
      </w:r>
      <w:r w:rsidRPr="00B64510">
        <w:rPr>
          <w:rFonts w:asciiTheme="minorHAnsi" w:hAnsiTheme="minorHAnsi" w:cstheme="minorHAnsi"/>
          <w:sz w:val="22"/>
          <w:szCs w:val="22"/>
          <w:lang w:val="en-US" w:eastAsia="el-GR"/>
        </w:rPr>
        <w:t xml:space="preserve"> = 62), a </w:t>
      </w:r>
      <w:r w:rsidRPr="00B64510">
        <w:rPr>
          <w:rFonts w:asciiTheme="minorHAnsi" w:hAnsiTheme="minorHAnsi" w:cstheme="minorHAnsi"/>
          <w:bCs/>
          <w:sz w:val="22"/>
          <w:szCs w:val="22"/>
          <w:lang w:val="en-US" w:eastAsia="el-GR"/>
        </w:rPr>
        <w:t xml:space="preserve">mid-program start </w:t>
      </w:r>
      <w:r w:rsidRPr="00B64510">
        <w:rPr>
          <w:rFonts w:asciiTheme="minorHAnsi" w:hAnsiTheme="minorHAnsi" w:cstheme="minorHAnsi"/>
          <w:sz w:val="22"/>
          <w:szCs w:val="22"/>
          <w:lang w:val="en-US" w:eastAsia="el-GR"/>
        </w:rPr>
        <w:t>(</w:t>
      </w:r>
      <w:r w:rsidRPr="00837415">
        <w:rPr>
          <w:rFonts w:asciiTheme="minorHAnsi" w:hAnsiTheme="minorHAnsi" w:cstheme="minorHAnsi"/>
          <w:bCs/>
          <w:sz w:val="22"/>
          <w:szCs w:val="22"/>
          <w:lang w:val="en-US" w:eastAsia="el-GR"/>
        </w:rPr>
        <w:t>semesters 5–6,</w:t>
      </w:r>
      <w:r w:rsidRPr="00837415">
        <w:rPr>
          <w:rFonts w:asciiTheme="minorHAnsi" w:hAnsiTheme="minorHAnsi" w:cstheme="minorHAnsi"/>
          <w:b/>
          <w:bCs/>
          <w:sz w:val="22"/>
          <w:szCs w:val="22"/>
          <w:lang w:val="en-US" w:eastAsia="el-GR"/>
        </w:rPr>
        <w:t xml:space="preserve"> </w:t>
      </w:r>
      <w:r w:rsidRPr="00837415">
        <w:rPr>
          <w:rFonts w:asciiTheme="minorHAnsi" w:eastAsiaTheme="majorEastAsia" w:hAnsiTheme="minorHAnsi" w:cstheme="minorHAnsi"/>
          <w:iCs/>
          <w:sz w:val="22"/>
          <w:szCs w:val="22"/>
          <w:lang w:val="en-US" w:eastAsia="el-GR"/>
        </w:rPr>
        <w:t>n</w:t>
      </w:r>
      <w:r w:rsidRPr="00B64510">
        <w:rPr>
          <w:rFonts w:asciiTheme="minorHAnsi" w:hAnsiTheme="minorHAnsi" w:cstheme="minorHAnsi"/>
          <w:sz w:val="22"/>
          <w:szCs w:val="22"/>
          <w:lang w:val="en-US" w:eastAsia="el-GR"/>
        </w:rPr>
        <w:t xml:space="preserve"> = 64) and a </w:t>
      </w:r>
      <w:r w:rsidRPr="00B64510">
        <w:rPr>
          <w:rFonts w:asciiTheme="minorHAnsi" w:hAnsiTheme="minorHAnsi" w:cstheme="minorHAnsi"/>
          <w:bCs/>
          <w:sz w:val="22"/>
          <w:szCs w:val="22"/>
          <w:lang w:val="en-US" w:eastAsia="el-GR"/>
        </w:rPr>
        <w:t>later start</w:t>
      </w:r>
      <w:r w:rsidRPr="00B64510">
        <w:rPr>
          <w:rFonts w:asciiTheme="minorHAnsi" w:hAnsiTheme="minorHAnsi" w:cstheme="minorHAnsi"/>
          <w:b/>
          <w:bCs/>
          <w:sz w:val="22"/>
          <w:szCs w:val="22"/>
          <w:lang w:val="en-US" w:eastAsia="el-GR"/>
        </w:rPr>
        <w:t xml:space="preserve"> </w:t>
      </w:r>
      <w:r w:rsidRPr="00B64510">
        <w:rPr>
          <w:rFonts w:asciiTheme="minorHAnsi" w:hAnsiTheme="minorHAnsi" w:cstheme="minorHAnsi"/>
          <w:sz w:val="22"/>
          <w:szCs w:val="22"/>
          <w:lang w:val="en-US" w:eastAsia="el-GR"/>
        </w:rPr>
        <w:t>(</w:t>
      </w:r>
      <w:r w:rsidRPr="00837415">
        <w:rPr>
          <w:rFonts w:asciiTheme="minorHAnsi" w:hAnsiTheme="minorHAnsi" w:cstheme="minorHAnsi"/>
          <w:bCs/>
          <w:sz w:val="22"/>
          <w:szCs w:val="22"/>
          <w:lang w:val="en-US" w:eastAsia="el-GR"/>
        </w:rPr>
        <w:t>semesters 7–8</w:t>
      </w:r>
      <w:r w:rsidRPr="00B64510">
        <w:rPr>
          <w:rFonts w:asciiTheme="minorHAnsi" w:hAnsiTheme="minorHAnsi" w:cstheme="minorHAnsi"/>
          <w:sz w:val="22"/>
          <w:szCs w:val="22"/>
          <w:lang w:val="en-US" w:eastAsia="el-GR"/>
        </w:rPr>
        <w:t xml:space="preserve">, </w:t>
      </w:r>
      <w:r w:rsidRPr="00837415">
        <w:rPr>
          <w:rFonts w:asciiTheme="minorHAnsi" w:eastAsiaTheme="majorEastAsia" w:hAnsiTheme="minorHAnsi" w:cstheme="minorHAnsi"/>
          <w:iCs/>
          <w:sz w:val="22"/>
          <w:szCs w:val="22"/>
          <w:lang w:val="en-US" w:eastAsia="el-GR"/>
        </w:rPr>
        <w:t>n</w:t>
      </w:r>
      <w:r w:rsidRPr="00B64510">
        <w:rPr>
          <w:rFonts w:asciiTheme="minorHAnsi" w:hAnsiTheme="minorHAnsi" w:cstheme="minorHAnsi"/>
          <w:sz w:val="22"/>
          <w:szCs w:val="22"/>
          <w:lang w:val="en-US" w:eastAsia="el-GR"/>
        </w:rPr>
        <w:t xml:space="preserve"> = 68). Qualitative rationales aligned with these groupings and were associated with the need for early </w:t>
      </w:r>
      <w:r w:rsidR="003262E0" w:rsidRPr="00B64510">
        <w:rPr>
          <w:rFonts w:asciiTheme="minorHAnsi" w:hAnsiTheme="minorHAnsi" w:cstheme="minorHAnsi"/>
          <w:sz w:val="22"/>
          <w:szCs w:val="22"/>
          <w:lang w:val="en-US" w:eastAsia="el-GR"/>
        </w:rPr>
        <w:t>familiarization</w:t>
      </w:r>
      <w:r w:rsidRPr="00B64510">
        <w:rPr>
          <w:rFonts w:asciiTheme="minorHAnsi" w:hAnsiTheme="minorHAnsi" w:cstheme="minorHAnsi"/>
          <w:sz w:val="22"/>
          <w:szCs w:val="22"/>
          <w:lang w:val="en-US" w:eastAsia="el-GR"/>
        </w:rPr>
        <w:t xml:space="preserve"> and preparation, the acquisition of sufficient theoretical background and maturity, or the accumulation of experience prior to supervised practice.</w:t>
      </w:r>
    </w:p>
    <w:p w14:paraId="6ED0A44E" w14:textId="1F8C19C0" w:rsidR="00837415" w:rsidRDefault="00B64510" w:rsidP="00837415">
      <w:pPr>
        <w:suppressAutoHyphens w:val="0"/>
        <w:ind w:firstLine="284"/>
        <w:jc w:val="both"/>
        <w:rPr>
          <w:rFonts w:asciiTheme="minorHAnsi" w:hAnsiTheme="minorHAnsi" w:cstheme="minorHAnsi"/>
          <w:sz w:val="22"/>
          <w:szCs w:val="22"/>
          <w:lang w:val="en-US" w:eastAsia="el-GR"/>
        </w:rPr>
      </w:pPr>
      <w:r w:rsidRPr="00B64510">
        <w:rPr>
          <w:rFonts w:asciiTheme="minorHAnsi" w:eastAsiaTheme="majorEastAsia" w:hAnsiTheme="minorHAnsi" w:cstheme="minorHAnsi"/>
          <w:sz w:val="22"/>
          <w:szCs w:val="22"/>
          <w:lang w:val="en-US" w:eastAsia="en-US"/>
        </w:rPr>
        <w:t xml:space="preserve">At the </w:t>
      </w:r>
      <w:r w:rsidR="003262E0" w:rsidRPr="00B64510">
        <w:rPr>
          <w:rFonts w:asciiTheme="minorHAnsi" w:eastAsiaTheme="majorEastAsia" w:hAnsiTheme="minorHAnsi" w:cstheme="minorHAnsi"/>
          <w:sz w:val="22"/>
          <w:szCs w:val="22"/>
          <w:lang w:val="en-US" w:eastAsia="en-US"/>
        </w:rPr>
        <w:t>organizational</w:t>
      </w:r>
      <w:r w:rsidRPr="00B64510">
        <w:rPr>
          <w:rFonts w:asciiTheme="minorHAnsi" w:eastAsiaTheme="majorEastAsia" w:hAnsiTheme="minorHAnsi" w:cstheme="minorHAnsi"/>
          <w:sz w:val="22"/>
          <w:szCs w:val="22"/>
          <w:lang w:val="en-US" w:eastAsia="en-US"/>
        </w:rPr>
        <w:t xml:space="preserve"> level, </w:t>
      </w:r>
      <w:r w:rsidRPr="00B64510">
        <w:rPr>
          <w:rFonts w:asciiTheme="minorHAnsi" w:hAnsiTheme="minorHAnsi" w:cstheme="minorHAnsi"/>
          <w:sz w:val="22"/>
          <w:szCs w:val="22"/>
          <w:lang w:val="en-US" w:eastAsia="el-GR"/>
        </w:rPr>
        <w:t xml:space="preserve">most participants expected that the supervisor would have </w:t>
      </w:r>
      <w:r w:rsidRPr="00837415">
        <w:rPr>
          <w:rFonts w:asciiTheme="minorHAnsi" w:hAnsiTheme="minorHAnsi" w:cstheme="minorHAnsi"/>
          <w:bCs/>
          <w:sz w:val="22"/>
          <w:szCs w:val="22"/>
          <w:lang w:val="en-US" w:eastAsia="el-GR"/>
        </w:rPr>
        <w:t>reviewed the submitted lesson plan/design</w:t>
      </w:r>
      <w:r w:rsidRPr="00B64510">
        <w:rPr>
          <w:rFonts w:asciiTheme="minorHAnsi" w:hAnsiTheme="minorHAnsi" w:cstheme="minorHAnsi"/>
          <w:sz w:val="22"/>
          <w:szCs w:val="22"/>
          <w:lang w:val="en-US" w:eastAsia="el-GR"/>
        </w:rPr>
        <w:t xml:space="preserve"> (</w:t>
      </w:r>
      <w:r w:rsidRPr="00837415">
        <w:rPr>
          <w:rFonts w:asciiTheme="minorHAnsi" w:eastAsiaTheme="majorEastAsia" w:hAnsiTheme="minorHAnsi" w:cstheme="minorHAnsi"/>
          <w:iCs/>
          <w:sz w:val="22"/>
          <w:szCs w:val="22"/>
          <w:lang w:val="en-US" w:eastAsia="el-GR"/>
        </w:rPr>
        <w:t>n</w:t>
      </w:r>
      <w:r w:rsidRPr="00B64510">
        <w:rPr>
          <w:rFonts w:asciiTheme="minorHAnsi" w:hAnsiTheme="minorHAnsi" w:cstheme="minorHAnsi"/>
          <w:sz w:val="22"/>
          <w:szCs w:val="22"/>
          <w:lang w:val="en-US" w:eastAsia="el-GR"/>
        </w:rPr>
        <w:t xml:space="preserve"> = 188, 85.1%) would be prepared to offer </w:t>
      </w:r>
      <w:r w:rsidRPr="00837415">
        <w:rPr>
          <w:rFonts w:asciiTheme="minorHAnsi" w:hAnsiTheme="minorHAnsi" w:cstheme="minorHAnsi"/>
          <w:bCs/>
          <w:sz w:val="22"/>
          <w:szCs w:val="22"/>
          <w:lang w:val="en-US" w:eastAsia="el-GR"/>
        </w:rPr>
        <w:t>alternative suggestions</w:t>
      </w:r>
      <w:r w:rsidRPr="00B64510">
        <w:rPr>
          <w:rFonts w:asciiTheme="minorHAnsi" w:hAnsiTheme="minorHAnsi" w:cstheme="minorHAnsi"/>
          <w:sz w:val="22"/>
          <w:szCs w:val="22"/>
          <w:lang w:val="en-US" w:eastAsia="el-GR"/>
        </w:rPr>
        <w:t xml:space="preserve"> for instructional planning (</w:t>
      </w:r>
      <w:r w:rsidRPr="00837415">
        <w:rPr>
          <w:rFonts w:asciiTheme="minorHAnsi" w:eastAsiaTheme="majorEastAsia" w:hAnsiTheme="minorHAnsi" w:cstheme="minorHAnsi"/>
          <w:iCs/>
          <w:sz w:val="22"/>
          <w:szCs w:val="22"/>
          <w:lang w:val="en-US" w:eastAsia="el-GR"/>
        </w:rPr>
        <w:t>n</w:t>
      </w:r>
      <w:r w:rsidRPr="00B64510">
        <w:rPr>
          <w:rFonts w:asciiTheme="minorHAnsi" w:hAnsiTheme="minorHAnsi" w:cstheme="minorHAnsi"/>
          <w:sz w:val="22"/>
          <w:szCs w:val="22"/>
          <w:lang w:val="en-US" w:eastAsia="el-GR"/>
        </w:rPr>
        <w:t xml:space="preserve"> = 157, 71.0</w:t>
      </w:r>
      <w:r w:rsidR="00837415">
        <w:rPr>
          <w:rFonts w:asciiTheme="minorHAnsi" w:hAnsiTheme="minorHAnsi" w:cstheme="minorHAnsi"/>
          <w:sz w:val="22"/>
          <w:szCs w:val="22"/>
          <w:lang w:val="en-US" w:eastAsia="el-GR"/>
        </w:rPr>
        <w:t xml:space="preserve">). </w:t>
      </w:r>
    </w:p>
    <w:p w14:paraId="0DCD91D6" w14:textId="57D70466" w:rsidR="00B64510" w:rsidRPr="00B64510" w:rsidRDefault="00B64510" w:rsidP="00837415">
      <w:pPr>
        <w:suppressAutoHyphens w:val="0"/>
        <w:ind w:firstLine="284"/>
        <w:jc w:val="both"/>
        <w:rPr>
          <w:rFonts w:asciiTheme="minorHAnsi" w:eastAsiaTheme="majorEastAsia" w:hAnsiTheme="minorHAnsi" w:cstheme="minorHAnsi"/>
          <w:sz w:val="22"/>
          <w:szCs w:val="22"/>
          <w:lang w:val="en-US" w:eastAsia="en-US"/>
        </w:rPr>
      </w:pPr>
      <w:r w:rsidRPr="00B64510">
        <w:rPr>
          <w:rFonts w:asciiTheme="minorHAnsi" w:hAnsiTheme="minorHAnsi" w:cstheme="minorHAnsi"/>
          <w:sz w:val="22"/>
          <w:szCs w:val="22"/>
          <w:lang w:val="en-US" w:eastAsia="el-GR"/>
        </w:rPr>
        <w:t xml:space="preserve">In addition, the </w:t>
      </w:r>
      <w:r w:rsidRPr="00837415">
        <w:rPr>
          <w:rFonts w:asciiTheme="minorHAnsi" w:hAnsiTheme="minorHAnsi" w:cstheme="minorHAnsi"/>
          <w:bCs/>
          <w:sz w:val="22"/>
          <w:szCs w:val="22"/>
          <w:lang w:val="en-US" w:eastAsia="el-GR"/>
        </w:rPr>
        <w:t>ideal supervisor–student ratio</w:t>
      </w:r>
      <w:r w:rsidRPr="00B64510">
        <w:rPr>
          <w:rFonts w:asciiTheme="minorHAnsi" w:hAnsiTheme="minorHAnsi" w:cstheme="minorHAnsi"/>
          <w:sz w:val="22"/>
          <w:szCs w:val="22"/>
          <w:lang w:val="en-US" w:eastAsia="el-GR"/>
        </w:rPr>
        <w:t xml:space="preserve"> was most commonly identified as</w:t>
      </w:r>
      <w:r w:rsidRPr="00B64510">
        <w:rPr>
          <w:rFonts w:asciiTheme="minorHAnsi" w:eastAsiaTheme="majorEastAsia" w:hAnsiTheme="minorHAnsi" w:cstheme="minorHAnsi"/>
          <w:sz w:val="22"/>
          <w:szCs w:val="22"/>
          <w:lang w:val="en-US" w:eastAsia="en-US"/>
        </w:rPr>
        <w:t xml:space="preserve"> 1:10 (79.2%).</w:t>
      </w:r>
    </w:p>
    <w:p w14:paraId="22606BC7" w14:textId="77777777" w:rsidR="00B64510" w:rsidRPr="00B64510" w:rsidRDefault="00B64510" w:rsidP="000C6ABC">
      <w:pPr>
        <w:suppressAutoHyphens w:val="0"/>
        <w:spacing w:before="240"/>
        <w:ind w:firstLine="284"/>
        <w:outlineLvl w:val="2"/>
        <w:rPr>
          <w:rFonts w:asciiTheme="minorHAnsi" w:hAnsiTheme="minorHAnsi" w:cstheme="minorHAnsi"/>
          <w:bCs/>
          <w:i/>
          <w:sz w:val="22"/>
          <w:szCs w:val="22"/>
          <w:lang w:val="en-US" w:eastAsia="el-GR"/>
        </w:rPr>
      </w:pPr>
      <w:r w:rsidRPr="00B64510">
        <w:rPr>
          <w:rFonts w:asciiTheme="minorHAnsi" w:hAnsiTheme="minorHAnsi" w:cstheme="minorHAnsi"/>
          <w:bCs/>
          <w:i/>
          <w:sz w:val="22"/>
          <w:szCs w:val="22"/>
          <w:lang w:val="en-US" w:eastAsia="el-GR"/>
        </w:rPr>
        <w:t>Pre-service Teachers’ Proposals for Improving Supervision</w:t>
      </w:r>
    </w:p>
    <w:p w14:paraId="68136B23" w14:textId="77777777" w:rsidR="00B64510" w:rsidRPr="00B64510" w:rsidRDefault="00B64510" w:rsidP="00837415">
      <w:pPr>
        <w:suppressAutoHyphens w:val="0"/>
        <w:ind w:firstLine="284"/>
        <w:jc w:val="both"/>
        <w:rPr>
          <w:rFonts w:asciiTheme="minorHAnsi" w:eastAsiaTheme="minorHAnsi" w:hAnsiTheme="minorHAnsi" w:cstheme="minorHAnsi"/>
          <w:sz w:val="22"/>
          <w:szCs w:val="22"/>
          <w:lang w:val="en-US" w:eastAsia="en-US"/>
        </w:rPr>
      </w:pPr>
      <w:r w:rsidRPr="00B64510">
        <w:rPr>
          <w:rFonts w:asciiTheme="minorHAnsi" w:eastAsiaTheme="minorHAnsi" w:hAnsiTheme="minorHAnsi" w:cstheme="minorHAnsi"/>
          <w:sz w:val="22"/>
          <w:szCs w:val="22"/>
          <w:lang w:val="en-US" w:eastAsia="en-US"/>
        </w:rPr>
        <w:t xml:space="preserve">A total of </w:t>
      </w:r>
      <w:r w:rsidRPr="00837415">
        <w:rPr>
          <w:rFonts w:asciiTheme="minorHAnsi" w:eastAsiaTheme="majorEastAsia" w:hAnsiTheme="minorHAnsi" w:cstheme="minorHAnsi"/>
          <w:bCs/>
          <w:sz w:val="22"/>
          <w:szCs w:val="22"/>
          <w:lang w:val="en-US" w:eastAsia="en-US"/>
        </w:rPr>
        <w:t>139</w:t>
      </w:r>
      <w:r w:rsidRPr="00B64510">
        <w:rPr>
          <w:rFonts w:asciiTheme="minorHAnsi" w:eastAsiaTheme="minorHAnsi" w:hAnsiTheme="minorHAnsi" w:cstheme="minorHAnsi"/>
          <w:sz w:val="22"/>
          <w:szCs w:val="22"/>
          <w:lang w:val="en-US" w:eastAsia="en-US"/>
        </w:rPr>
        <w:t xml:space="preserve"> interpretable open-ended responses were coded. Analysis of students’ proposals for improvement revealed several recurring themes. The most frequently mentioned suggestion concerned the enhancement of </w:t>
      </w:r>
      <w:r w:rsidRPr="00B64510">
        <w:rPr>
          <w:rFonts w:asciiTheme="minorHAnsi" w:eastAsiaTheme="minorHAnsi" w:hAnsiTheme="minorHAnsi" w:cstheme="minorHAnsi"/>
          <w:bCs/>
          <w:sz w:val="22"/>
          <w:szCs w:val="22"/>
          <w:lang w:val="en-US" w:eastAsia="en-US"/>
        </w:rPr>
        <w:t>communication and supervisor availability</w:t>
      </w:r>
      <w:r w:rsidRPr="00B64510">
        <w:rPr>
          <w:rFonts w:asciiTheme="minorHAnsi" w:eastAsiaTheme="minorHAnsi" w:hAnsiTheme="minorHAnsi" w:cstheme="minorHAnsi"/>
          <w:sz w:val="22"/>
          <w:szCs w:val="22"/>
          <w:lang w:val="en-US" w:eastAsia="en-US"/>
        </w:rPr>
        <w:t>, with participants calling for “</w:t>
      </w:r>
      <w:r w:rsidRPr="00B64510">
        <w:rPr>
          <w:rFonts w:asciiTheme="minorHAnsi" w:eastAsiaTheme="minorHAnsi" w:hAnsiTheme="minorHAnsi" w:cstheme="minorHAnsi"/>
          <w:iCs/>
          <w:sz w:val="22"/>
          <w:szCs w:val="22"/>
          <w:lang w:val="en-US" w:eastAsia="en-US"/>
        </w:rPr>
        <w:t>more frequent communication</w:t>
      </w:r>
      <w:r w:rsidRPr="00B64510">
        <w:rPr>
          <w:rFonts w:asciiTheme="minorHAnsi" w:eastAsiaTheme="minorHAnsi" w:hAnsiTheme="minorHAnsi" w:cstheme="minorHAnsi"/>
          <w:sz w:val="22"/>
          <w:szCs w:val="22"/>
          <w:lang w:val="en-US" w:eastAsia="en-US"/>
        </w:rPr>
        <w:t>” (P10) and “</w:t>
      </w:r>
      <w:r w:rsidRPr="00B64510">
        <w:rPr>
          <w:rFonts w:asciiTheme="minorHAnsi" w:eastAsiaTheme="minorHAnsi" w:hAnsiTheme="minorHAnsi" w:cstheme="minorHAnsi"/>
          <w:iCs/>
          <w:sz w:val="22"/>
          <w:szCs w:val="22"/>
          <w:lang w:val="en-US" w:eastAsia="en-US"/>
        </w:rPr>
        <w:t>proper contact with students</w:t>
      </w:r>
      <w:r w:rsidRPr="00B64510">
        <w:rPr>
          <w:rFonts w:asciiTheme="minorHAnsi" w:eastAsiaTheme="minorHAnsi" w:hAnsiTheme="minorHAnsi" w:cstheme="minorHAnsi"/>
          <w:sz w:val="22"/>
          <w:szCs w:val="22"/>
          <w:lang w:val="en-US" w:eastAsia="en-US"/>
        </w:rPr>
        <w:t>” (P9).</w:t>
      </w:r>
    </w:p>
    <w:p w14:paraId="4C02003F" w14:textId="03E85053" w:rsidR="00B64510" w:rsidRPr="00B64510" w:rsidRDefault="00B64510" w:rsidP="00837415">
      <w:pPr>
        <w:suppressAutoHyphens w:val="0"/>
        <w:ind w:firstLine="284"/>
        <w:jc w:val="both"/>
        <w:rPr>
          <w:rFonts w:asciiTheme="minorHAnsi" w:hAnsiTheme="minorHAnsi" w:cstheme="minorHAnsi"/>
          <w:sz w:val="22"/>
          <w:szCs w:val="22"/>
          <w:lang w:val="en-US" w:eastAsia="el-GR"/>
        </w:rPr>
      </w:pPr>
      <w:r w:rsidRPr="00B64510">
        <w:rPr>
          <w:rFonts w:asciiTheme="minorHAnsi" w:hAnsiTheme="minorHAnsi" w:cstheme="minorHAnsi"/>
          <w:sz w:val="22"/>
          <w:szCs w:val="22"/>
          <w:lang w:val="en-US" w:eastAsia="el-GR"/>
        </w:rPr>
        <w:lastRenderedPageBreak/>
        <w:t xml:space="preserve">Participants also </w:t>
      </w:r>
      <w:r w:rsidR="003262E0" w:rsidRPr="00B64510">
        <w:rPr>
          <w:rFonts w:asciiTheme="minorHAnsi" w:hAnsiTheme="minorHAnsi" w:cstheme="minorHAnsi"/>
          <w:sz w:val="22"/>
          <w:szCs w:val="22"/>
          <w:lang w:val="en-US" w:eastAsia="el-GR"/>
        </w:rPr>
        <w:t>emphasized</w:t>
      </w:r>
      <w:r w:rsidRPr="00B64510">
        <w:rPr>
          <w:rFonts w:asciiTheme="minorHAnsi" w:hAnsiTheme="minorHAnsi" w:cstheme="minorHAnsi"/>
          <w:sz w:val="22"/>
          <w:szCs w:val="22"/>
          <w:lang w:val="en-US" w:eastAsia="el-GR"/>
        </w:rPr>
        <w:t xml:space="preserve"> the need for a </w:t>
      </w:r>
      <w:r w:rsidRPr="00B64510">
        <w:rPr>
          <w:rFonts w:asciiTheme="minorHAnsi" w:hAnsiTheme="minorHAnsi" w:cstheme="minorHAnsi"/>
          <w:bCs/>
          <w:sz w:val="22"/>
          <w:szCs w:val="22"/>
          <w:lang w:val="en-US" w:eastAsia="el-GR"/>
        </w:rPr>
        <w:t>supportive interpersonal stance</w:t>
      </w:r>
      <w:r w:rsidRPr="00B64510">
        <w:rPr>
          <w:rFonts w:asciiTheme="minorHAnsi" w:hAnsiTheme="minorHAnsi" w:cstheme="minorHAnsi"/>
          <w:sz w:val="22"/>
          <w:szCs w:val="22"/>
          <w:lang w:val="en-US" w:eastAsia="el-GR"/>
        </w:rPr>
        <w:t xml:space="preserve">, highlighting </w:t>
      </w:r>
      <w:r w:rsidR="00837415">
        <w:rPr>
          <w:rFonts w:asciiTheme="minorHAnsi" w:hAnsiTheme="minorHAnsi" w:cstheme="minorHAnsi"/>
          <w:sz w:val="22"/>
          <w:szCs w:val="22"/>
          <w:lang w:val="en-US" w:eastAsia="el-GR"/>
        </w:rPr>
        <w:t>“</w:t>
      </w:r>
      <w:r w:rsidRPr="00B64510">
        <w:rPr>
          <w:rFonts w:asciiTheme="minorHAnsi" w:hAnsiTheme="minorHAnsi" w:cstheme="minorHAnsi"/>
          <w:sz w:val="22"/>
          <w:szCs w:val="22"/>
          <w:lang w:val="en-US" w:eastAsia="el-GR"/>
        </w:rPr>
        <w:t>understanding</w:t>
      </w:r>
      <w:r w:rsidR="00837415">
        <w:rPr>
          <w:rFonts w:asciiTheme="minorHAnsi" w:hAnsiTheme="minorHAnsi" w:cstheme="minorHAnsi"/>
          <w:sz w:val="22"/>
          <w:szCs w:val="22"/>
          <w:lang w:val="en-US" w:eastAsia="el-GR"/>
        </w:rPr>
        <w:t>”</w:t>
      </w:r>
      <w:r w:rsidRPr="00B64510">
        <w:rPr>
          <w:rFonts w:asciiTheme="minorHAnsi" w:hAnsiTheme="minorHAnsi" w:cstheme="minorHAnsi"/>
          <w:sz w:val="22"/>
          <w:szCs w:val="22"/>
          <w:lang w:val="en-US" w:eastAsia="el-GR"/>
        </w:rPr>
        <w:t xml:space="preserve">, </w:t>
      </w:r>
      <w:r w:rsidR="00837415">
        <w:rPr>
          <w:rFonts w:asciiTheme="minorHAnsi" w:hAnsiTheme="minorHAnsi" w:cstheme="minorHAnsi"/>
          <w:sz w:val="22"/>
          <w:szCs w:val="22"/>
          <w:lang w:val="en-US" w:eastAsia="el-GR"/>
        </w:rPr>
        <w:t>“</w:t>
      </w:r>
      <w:r w:rsidRPr="00B64510">
        <w:rPr>
          <w:rFonts w:asciiTheme="minorHAnsi" w:hAnsiTheme="minorHAnsi" w:cstheme="minorHAnsi"/>
          <w:sz w:val="22"/>
          <w:szCs w:val="22"/>
          <w:lang w:val="en-US" w:eastAsia="el-GR"/>
        </w:rPr>
        <w:t>politeness</w:t>
      </w:r>
      <w:r w:rsidR="00837415">
        <w:rPr>
          <w:rFonts w:asciiTheme="minorHAnsi" w:hAnsiTheme="minorHAnsi" w:cstheme="minorHAnsi"/>
          <w:sz w:val="22"/>
          <w:szCs w:val="22"/>
          <w:lang w:val="en-US" w:eastAsia="el-GR"/>
        </w:rPr>
        <w:t>”</w:t>
      </w:r>
      <w:r w:rsidRPr="00B64510">
        <w:rPr>
          <w:rFonts w:asciiTheme="minorHAnsi" w:hAnsiTheme="minorHAnsi" w:cstheme="minorHAnsi"/>
          <w:sz w:val="22"/>
          <w:szCs w:val="22"/>
          <w:lang w:val="en-US" w:eastAsia="el-GR"/>
        </w:rPr>
        <w:t xml:space="preserve">, and </w:t>
      </w:r>
      <w:r w:rsidR="00837415">
        <w:rPr>
          <w:rFonts w:asciiTheme="minorHAnsi" w:hAnsiTheme="minorHAnsi" w:cstheme="minorHAnsi"/>
          <w:sz w:val="22"/>
          <w:szCs w:val="22"/>
          <w:lang w:val="en-US" w:eastAsia="el-GR"/>
        </w:rPr>
        <w:t>“</w:t>
      </w:r>
      <w:r w:rsidRPr="00B64510">
        <w:rPr>
          <w:rFonts w:asciiTheme="minorHAnsi" w:hAnsiTheme="minorHAnsi" w:cstheme="minorHAnsi"/>
          <w:sz w:val="22"/>
          <w:szCs w:val="22"/>
          <w:lang w:val="en-US" w:eastAsia="el-GR"/>
        </w:rPr>
        <w:t>patience</w:t>
      </w:r>
      <w:r w:rsidR="00837415">
        <w:rPr>
          <w:rFonts w:asciiTheme="minorHAnsi" w:hAnsiTheme="minorHAnsi" w:cstheme="minorHAnsi"/>
          <w:sz w:val="22"/>
          <w:szCs w:val="22"/>
          <w:lang w:val="en-US" w:eastAsia="el-GR"/>
        </w:rPr>
        <w:t>”</w:t>
      </w:r>
      <w:r w:rsidRPr="00B64510">
        <w:rPr>
          <w:rFonts w:asciiTheme="minorHAnsi" w:hAnsiTheme="minorHAnsi" w:cstheme="minorHAnsi"/>
          <w:sz w:val="22"/>
          <w:szCs w:val="22"/>
          <w:lang w:val="en-US" w:eastAsia="el-GR"/>
        </w:rPr>
        <w:t xml:space="preserve"> on the part of the supervisor (P15, P8). Particular emphasis was placed on the </w:t>
      </w:r>
      <w:r w:rsidRPr="00B64510">
        <w:rPr>
          <w:rFonts w:asciiTheme="minorHAnsi" w:hAnsiTheme="minorHAnsi" w:cstheme="minorHAnsi"/>
          <w:bCs/>
          <w:sz w:val="22"/>
          <w:szCs w:val="22"/>
          <w:lang w:val="en-US" w:eastAsia="el-GR"/>
        </w:rPr>
        <w:t>nature of feedback</w:t>
      </w:r>
      <w:r w:rsidRPr="00B64510">
        <w:rPr>
          <w:rFonts w:asciiTheme="minorHAnsi" w:hAnsiTheme="minorHAnsi" w:cstheme="minorHAnsi"/>
          <w:sz w:val="22"/>
          <w:szCs w:val="22"/>
          <w:lang w:val="en-US" w:eastAsia="el-GR"/>
        </w:rPr>
        <w:t xml:space="preserve">, with students requesting </w:t>
      </w:r>
      <w:r w:rsidR="003262E0" w:rsidRPr="00B64510">
        <w:rPr>
          <w:rFonts w:asciiTheme="minorHAnsi" w:hAnsiTheme="minorHAnsi" w:cstheme="minorHAnsi"/>
          <w:bCs/>
          <w:sz w:val="22"/>
          <w:szCs w:val="22"/>
          <w:lang w:val="en-US" w:eastAsia="el-GR"/>
        </w:rPr>
        <w:t>non-judgmental</w:t>
      </w:r>
      <w:r w:rsidRPr="00B64510">
        <w:rPr>
          <w:rFonts w:asciiTheme="minorHAnsi" w:hAnsiTheme="minorHAnsi" w:cstheme="minorHAnsi"/>
          <w:bCs/>
          <w:sz w:val="22"/>
          <w:szCs w:val="22"/>
          <w:lang w:val="en-US" w:eastAsia="el-GR"/>
        </w:rPr>
        <w:t xml:space="preserve"> and supportive feedback</w:t>
      </w:r>
      <w:r w:rsidRPr="00B64510">
        <w:rPr>
          <w:rFonts w:asciiTheme="minorHAnsi" w:hAnsiTheme="minorHAnsi" w:cstheme="minorHAnsi"/>
          <w:sz w:val="22"/>
          <w:szCs w:val="22"/>
          <w:lang w:val="en-US" w:eastAsia="el-GR"/>
        </w:rPr>
        <w:t>. They noted that supervisors should “</w:t>
      </w:r>
      <w:r w:rsidRPr="00B64510">
        <w:rPr>
          <w:rFonts w:asciiTheme="minorHAnsi" w:hAnsiTheme="minorHAnsi" w:cstheme="minorHAnsi"/>
          <w:iCs/>
          <w:sz w:val="22"/>
          <w:szCs w:val="22"/>
          <w:lang w:val="en-US" w:eastAsia="el-GR"/>
        </w:rPr>
        <w:t>help without being critical</w:t>
      </w:r>
      <w:r w:rsidRPr="00B64510">
        <w:rPr>
          <w:rFonts w:asciiTheme="minorHAnsi" w:hAnsiTheme="minorHAnsi" w:cstheme="minorHAnsi"/>
          <w:sz w:val="22"/>
          <w:szCs w:val="22"/>
          <w:lang w:val="en-US" w:eastAsia="el-GR"/>
        </w:rPr>
        <w:t>” (P171) and “</w:t>
      </w:r>
      <w:r w:rsidRPr="00B64510">
        <w:rPr>
          <w:rFonts w:asciiTheme="minorHAnsi" w:hAnsiTheme="minorHAnsi" w:cstheme="minorHAnsi"/>
          <w:iCs/>
          <w:sz w:val="22"/>
          <w:szCs w:val="22"/>
          <w:lang w:val="en-US" w:eastAsia="el-GR"/>
        </w:rPr>
        <w:t>not condemn mistakes</w:t>
      </w:r>
      <w:r w:rsidRPr="00B64510">
        <w:rPr>
          <w:rFonts w:asciiTheme="minorHAnsi" w:hAnsiTheme="minorHAnsi" w:cstheme="minorHAnsi"/>
          <w:sz w:val="22"/>
          <w:szCs w:val="22"/>
          <w:lang w:val="en-US" w:eastAsia="el-GR"/>
        </w:rPr>
        <w:t>” (P18).</w:t>
      </w:r>
    </w:p>
    <w:p w14:paraId="03D04543" w14:textId="6FF5BB6E" w:rsidR="00B64510" w:rsidRPr="00B64510" w:rsidRDefault="00B64510" w:rsidP="00837415">
      <w:pPr>
        <w:suppressAutoHyphens w:val="0"/>
        <w:ind w:firstLine="284"/>
        <w:jc w:val="both"/>
        <w:rPr>
          <w:rFonts w:asciiTheme="minorHAnsi" w:hAnsiTheme="minorHAnsi" w:cstheme="minorHAnsi"/>
          <w:sz w:val="22"/>
          <w:szCs w:val="22"/>
          <w:lang w:val="en-US" w:eastAsia="el-GR"/>
        </w:rPr>
      </w:pPr>
      <w:r w:rsidRPr="00B64510">
        <w:rPr>
          <w:rFonts w:asciiTheme="minorHAnsi" w:hAnsiTheme="minorHAnsi" w:cstheme="minorHAnsi"/>
          <w:sz w:val="22"/>
          <w:szCs w:val="22"/>
          <w:lang w:val="en-US" w:eastAsia="el-GR"/>
        </w:rPr>
        <w:t xml:space="preserve">Furthermore, participants proposed strengthening </w:t>
      </w:r>
      <w:r w:rsidRPr="00B64510">
        <w:rPr>
          <w:rFonts w:asciiTheme="minorHAnsi" w:hAnsiTheme="minorHAnsi" w:cstheme="minorHAnsi"/>
          <w:bCs/>
          <w:sz w:val="22"/>
          <w:szCs w:val="22"/>
          <w:lang w:val="en-US" w:eastAsia="el-GR"/>
        </w:rPr>
        <w:t>in-person small-group meetings or workshops</w:t>
      </w:r>
      <w:r w:rsidRPr="00B64510">
        <w:rPr>
          <w:rFonts w:asciiTheme="minorHAnsi" w:hAnsiTheme="minorHAnsi" w:cstheme="minorHAnsi"/>
          <w:sz w:val="22"/>
          <w:szCs w:val="22"/>
          <w:lang w:val="en-US" w:eastAsia="el-GR"/>
        </w:rPr>
        <w:t xml:space="preserve">, allowing more time for discussion and </w:t>
      </w:r>
      <w:r w:rsidR="003262E0" w:rsidRPr="00B64510">
        <w:rPr>
          <w:rFonts w:asciiTheme="minorHAnsi" w:hAnsiTheme="minorHAnsi" w:cstheme="minorHAnsi"/>
          <w:sz w:val="22"/>
          <w:szCs w:val="22"/>
          <w:lang w:val="en-US" w:eastAsia="el-GR"/>
        </w:rPr>
        <w:t>individualized</w:t>
      </w:r>
      <w:r w:rsidRPr="00B64510">
        <w:rPr>
          <w:rFonts w:asciiTheme="minorHAnsi" w:hAnsiTheme="minorHAnsi" w:cstheme="minorHAnsi"/>
          <w:sz w:val="22"/>
          <w:szCs w:val="22"/>
          <w:lang w:val="en-US" w:eastAsia="el-GR"/>
        </w:rPr>
        <w:t xml:space="preserve"> support (P81, P88). Less frequently mentioned, but still noteworthy, were suggestions related to the </w:t>
      </w:r>
      <w:r w:rsidRPr="00B64510">
        <w:rPr>
          <w:rFonts w:asciiTheme="minorHAnsi" w:hAnsiTheme="minorHAnsi" w:cstheme="minorHAnsi"/>
          <w:bCs/>
          <w:sz w:val="22"/>
          <w:szCs w:val="22"/>
          <w:lang w:val="en-US" w:eastAsia="el-GR"/>
        </w:rPr>
        <w:t>provision of teaching materials or practical ideas</w:t>
      </w:r>
      <w:r w:rsidRPr="00B64510">
        <w:rPr>
          <w:rFonts w:asciiTheme="minorHAnsi" w:hAnsiTheme="minorHAnsi" w:cstheme="minorHAnsi"/>
          <w:sz w:val="22"/>
          <w:szCs w:val="22"/>
          <w:lang w:val="en-US" w:eastAsia="el-GR"/>
        </w:rPr>
        <w:t xml:space="preserve"> (P48, P130) and the </w:t>
      </w:r>
      <w:r w:rsidRPr="00B64510">
        <w:rPr>
          <w:rFonts w:asciiTheme="minorHAnsi" w:hAnsiTheme="minorHAnsi" w:cstheme="minorHAnsi"/>
          <w:bCs/>
          <w:sz w:val="22"/>
          <w:szCs w:val="22"/>
          <w:lang w:val="en-US" w:eastAsia="el-GR"/>
        </w:rPr>
        <w:t>reduction of the number of students per supervisor</w:t>
      </w:r>
      <w:r w:rsidRPr="00B64510">
        <w:rPr>
          <w:rFonts w:asciiTheme="minorHAnsi" w:hAnsiTheme="minorHAnsi" w:cstheme="minorHAnsi"/>
          <w:sz w:val="22"/>
          <w:szCs w:val="22"/>
          <w:lang w:val="en-US" w:eastAsia="el-GR"/>
        </w:rPr>
        <w:t xml:space="preserve"> in order to enhance the effectiveness of supervision (P47, P115) </w:t>
      </w:r>
      <w:r w:rsidRPr="00B64510">
        <w:rPr>
          <w:rFonts w:asciiTheme="minorHAnsi" w:eastAsiaTheme="minorHAnsi" w:hAnsiTheme="minorHAnsi" w:cstheme="minorHAnsi"/>
          <w:sz w:val="22"/>
          <w:szCs w:val="22"/>
          <w:lang w:val="en-US" w:eastAsia="en-US"/>
        </w:rPr>
        <w:t xml:space="preserve">(Table </w:t>
      </w:r>
      <w:r w:rsidR="00837415" w:rsidRPr="00837415">
        <w:rPr>
          <w:rFonts w:asciiTheme="minorHAnsi" w:eastAsiaTheme="minorHAnsi" w:hAnsiTheme="minorHAnsi" w:cstheme="minorHAnsi"/>
          <w:sz w:val="22"/>
          <w:szCs w:val="22"/>
          <w:lang w:val="en-US" w:eastAsia="en-US"/>
        </w:rPr>
        <w:t>4</w:t>
      </w:r>
      <w:r w:rsidRPr="00B64510">
        <w:rPr>
          <w:rFonts w:asciiTheme="minorHAnsi" w:eastAsiaTheme="minorHAnsi" w:hAnsiTheme="minorHAnsi" w:cstheme="minorHAnsi"/>
          <w:sz w:val="22"/>
          <w:szCs w:val="22"/>
          <w:lang w:val="en-US" w:eastAsia="en-US"/>
        </w:rPr>
        <w:t>).</w:t>
      </w:r>
    </w:p>
    <w:p w14:paraId="67FDBCAE" w14:textId="5D32A398" w:rsidR="00B64510" w:rsidRPr="00082C48" w:rsidRDefault="00B64510" w:rsidP="00837415">
      <w:pPr>
        <w:suppressAutoHyphens w:val="0"/>
        <w:spacing w:before="240"/>
        <w:ind w:firstLine="284"/>
        <w:jc w:val="center"/>
        <w:rPr>
          <w:rFonts w:asciiTheme="minorHAnsi" w:eastAsiaTheme="majorEastAsia" w:hAnsiTheme="minorHAnsi" w:cstheme="minorHAnsi"/>
          <w:b/>
          <w:bCs/>
          <w:sz w:val="22"/>
          <w:szCs w:val="22"/>
          <w:lang w:val="en-US" w:eastAsia="el-GR"/>
        </w:rPr>
      </w:pPr>
      <w:r w:rsidRPr="00082C48">
        <w:rPr>
          <w:rFonts w:asciiTheme="minorHAnsi" w:eastAsiaTheme="majorEastAsia" w:hAnsiTheme="minorHAnsi" w:cstheme="minorHAnsi"/>
          <w:b/>
          <w:bCs/>
          <w:sz w:val="22"/>
          <w:szCs w:val="22"/>
          <w:lang w:val="en-US" w:eastAsia="el-GR"/>
        </w:rPr>
        <w:t xml:space="preserve">Table </w:t>
      </w:r>
      <w:r w:rsidR="00837415" w:rsidRPr="00082C48">
        <w:rPr>
          <w:rFonts w:asciiTheme="minorHAnsi" w:eastAsiaTheme="majorEastAsia" w:hAnsiTheme="minorHAnsi" w:cstheme="minorHAnsi"/>
          <w:b/>
          <w:bCs/>
          <w:sz w:val="22"/>
          <w:szCs w:val="22"/>
          <w:lang w:val="en-US" w:eastAsia="el-GR"/>
        </w:rPr>
        <w:t>4</w:t>
      </w:r>
      <w:r w:rsidRPr="00082C48">
        <w:rPr>
          <w:rFonts w:asciiTheme="minorHAnsi" w:eastAsiaTheme="majorEastAsia" w:hAnsiTheme="minorHAnsi" w:cstheme="minorHAnsi"/>
          <w:b/>
          <w:bCs/>
          <w:sz w:val="22"/>
          <w:szCs w:val="22"/>
          <w:lang w:val="en-US" w:eastAsia="el-GR"/>
        </w:rPr>
        <w:t>. Improvement suggestion clusters (coded; n = respondents mentioning the theme; non-exclusive; n=139)</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303"/>
        <w:gridCol w:w="583"/>
      </w:tblGrid>
      <w:tr w:rsidR="00B64510" w:rsidRPr="00B64510" w14:paraId="4BD4BC9D" w14:textId="77777777" w:rsidTr="003262E0">
        <w:trPr>
          <w:tblHeader/>
          <w:tblCellSpacing w:w="15" w:type="dxa"/>
          <w:jc w:val="center"/>
        </w:trPr>
        <w:tc>
          <w:tcPr>
            <w:tcW w:w="0" w:type="auto"/>
            <w:tcBorders>
              <w:top w:val="single" w:sz="8" w:space="0" w:color="auto"/>
              <w:bottom w:val="single" w:sz="8" w:space="0" w:color="auto"/>
            </w:tcBorders>
            <w:hideMark/>
          </w:tcPr>
          <w:p w14:paraId="0C3C58E6" w14:textId="77777777" w:rsidR="00B64510" w:rsidRPr="00B64510" w:rsidRDefault="00B64510" w:rsidP="00837415">
            <w:pPr>
              <w:suppressAutoHyphens w:val="0"/>
              <w:ind w:firstLine="284"/>
              <w:rPr>
                <w:rFonts w:asciiTheme="minorHAnsi" w:eastAsiaTheme="minorHAnsi" w:hAnsiTheme="minorHAnsi" w:cstheme="minorHAnsi"/>
                <w:b/>
                <w:bCs/>
                <w:sz w:val="22"/>
                <w:szCs w:val="22"/>
                <w:lang w:eastAsia="en-US"/>
              </w:rPr>
            </w:pPr>
            <w:proofErr w:type="spellStart"/>
            <w:r w:rsidRPr="00B64510">
              <w:rPr>
                <w:rFonts w:asciiTheme="minorHAnsi" w:eastAsiaTheme="minorHAnsi" w:hAnsiTheme="minorHAnsi" w:cstheme="minorHAnsi"/>
                <w:b/>
                <w:bCs/>
                <w:sz w:val="22"/>
                <w:szCs w:val="22"/>
                <w:lang w:eastAsia="en-US"/>
              </w:rPr>
              <w:t>Theme</w:t>
            </w:r>
            <w:proofErr w:type="spellEnd"/>
          </w:p>
        </w:tc>
        <w:tc>
          <w:tcPr>
            <w:tcW w:w="0" w:type="auto"/>
            <w:tcBorders>
              <w:top w:val="single" w:sz="8" w:space="0" w:color="auto"/>
              <w:bottom w:val="single" w:sz="8" w:space="0" w:color="auto"/>
            </w:tcBorders>
            <w:hideMark/>
          </w:tcPr>
          <w:p w14:paraId="022B226F" w14:textId="77777777" w:rsidR="00B64510" w:rsidRPr="00B64510" w:rsidRDefault="00B64510" w:rsidP="00837415">
            <w:pPr>
              <w:suppressAutoHyphens w:val="0"/>
              <w:ind w:firstLine="284"/>
              <w:rPr>
                <w:rFonts w:asciiTheme="minorHAnsi" w:eastAsiaTheme="minorHAnsi" w:hAnsiTheme="minorHAnsi" w:cstheme="minorHAnsi"/>
                <w:b/>
                <w:bCs/>
                <w:sz w:val="22"/>
                <w:szCs w:val="22"/>
                <w:lang w:eastAsia="en-US"/>
              </w:rPr>
            </w:pPr>
            <w:r w:rsidRPr="00B64510">
              <w:rPr>
                <w:rFonts w:asciiTheme="minorHAnsi" w:eastAsiaTheme="minorHAnsi" w:hAnsiTheme="minorHAnsi" w:cstheme="minorHAnsi"/>
                <w:b/>
                <w:bCs/>
                <w:sz w:val="22"/>
                <w:szCs w:val="22"/>
                <w:lang w:eastAsia="en-US"/>
              </w:rPr>
              <w:t>n</w:t>
            </w:r>
          </w:p>
        </w:tc>
      </w:tr>
      <w:tr w:rsidR="00B64510" w:rsidRPr="00B64510" w14:paraId="340FDD93" w14:textId="77777777" w:rsidTr="00837415">
        <w:trPr>
          <w:tblCellSpacing w:w="15" w:type="dxa"/>
          <w:jc w:val="center"/>
        </w:trPr>
        <w:tc>
          <w:tcPr>
            <w:tcW w:w="0" w:type="auto"/>
            <w:hideMark/>
          </w:tcPr>
          <w:p w14:paraId="3B54A708" w14:textId="77777777" w:rsidR="00B64510" w:rsidRPr="00B64510" w:rsidRDefault="00B64510" w:rsidP="00837415">
            <w:pPr>
              <w:suppressAutoHyphens w:val="0"/>
              <w:ind w:firstLine="284"/>
              <w:rPr>
                <w:rFonts w:asciiTheme="minorHAnsi" w:eastAsiaTheme="minorHAnsi" w:hAnsiTheme="minorHAnsi" w:cstheme="minorHAnsi"/>
                <w:sz w:val="22"/>
                <w:szCs w:val="22"/>
                <w:lang w:val="en-US" w:eastAsia="en-US"/>
              </w:rPr>
            </w:pPr>
            <w:r w:rsidRPr="00B64510">
              <w:rPr>
                <w:rFonts w:asciiTheme="minorHAnsi" w:eastAsiaTheme="minorHAnsi" w:hAnsiTheme="minorHAnsi" w:cstheme="minorHAnsi"/>
                <w:sz w:val="22"/>
                <w:szCs w:val="22"/>
                <w:lang w:val="en-US" w:eastAsia="en-US"/>
              </w:rPr>
              <w:t>More frequent/stable communication &amp; availability</w:t>
            </w:r>
          </w:p>
        </w:tc>
        <w:tc>
          <w:tcPr>
            <w:tcW w:w="0" w:type="auto"/>
            <w:hideMark/>
          </w:tcPr>
          <w:p w14:paraId="3998C023" w14:textId="77777777" w:rsidR="00B64510" w:rsidRPr="00B64510" w:rsidRDefault="00B64510" w:rsidP="00837415">
            <w:pPr>
              <w:suppressAutoHyphens w:val="0"/>
              <w:ind w:firstLine="284"/>
              <w:rPr>
                <w:rFonts w:asciiTheme="minorHAnsi" w:eastAsiaTheme="minorHAnsi" w:hAnsiTheme="minorHAnsi" w:cstheme="minorHAnsi"/>
                <w:sz w:val="22"/>
                <w:szCs w:val="22"/>
                <w:lang w:eastAsia="en-US"/>
              </w:rPr>
            </w:pPr>
            <w:r w:rsidRPr="00B64510">
              <w:rPr>
                <w:rFonts w:asciiTheme="minorHAnsi" w:eastAsiaTheme="minorHAnsi" w:hAnsiTheme="minorHAnsi" w:cstheme="minorHAnsi"/>
                <w:sz w:val="22"/>
                <w:szCs w:val="22"/>
                <w:lang w:eastAsia="en-US"/>
              </w:rPr>
              <w:t>33</w:t>
            </w:r>
          </w:p>
        </w:tc>
      </w:tr>
      <w:tr w:rsidR="00B64510" w:rsidRPr="00B64510" w14:paraId="3DAE63F6" w14:textId="77777777" w:rsidTr="00837415">
        <w:trPr>
          <w:tblCellSpacing w:w="15" w:type="dxa"/>
          <w:jc w:val="center"/>
        </w:trPr>
        <w:tc>
          <w:tcPr>
            <w:tcW w:w="0" w:type="auto"/>
            <w:hideMark/>
          </w:tcPr>
          <w:p w14:paraId="5FB42897" w14:textId="77777777" w:rsidR="00B64510" w:rsidRPr="00B64510" w:rsidRDefault="00B64510" w:rsidP="00837415">
            <w:pPr>
              <w:suppressAutoHyphens w:val="0"/>
              <w:ind w:firstLine="284"/>
              <w:rPr>
                <w:rFonts w:asciiTheme="minorHAnsi" w:eastAsiaTheme="minorHAnsi" w:hAnsiTheme="minorHAnsi" w:cstheme="minorHAnsi"/>
                <w:sz w:val="22"/>
                <w:szCs w:val="22"/>
                <w:lang w:val="en-US" w:eastAsia="en-US"/>
              </w:rPr>
            </w:pPr>
            <w:r w:rsidRPr="00B64510">
              <w:rPr>
                <w:rFonts w:asciiTheme="minorHAnsi" w:eastAsiaTheme="minorHAnsi" w:hAnsiTheme="minorHAnsi" w:cstheme="minorHAnsi"/>
                <w:sz w:val="22"/>
                <w:szCs w:val="22"/>
                <w:lang w:val="en-US" w:eastAsia="en-US"/>
              </w:rPr>
              <w:t>Supportive stance (understanding/politeness/patience)</w:t>
            </w:r>
          </w:p>
        </w:tc>
        <w:tc>
          <w:tcPr>
            <w:tcW w:w="0" w:type="auto"/>
            <w:hideMark/>
          </w:tcPr>
          <w:p w14:paraId="1D86210B" w14:textId="77777777" w:rsidR="00B64510" w:rsidRPr="00B64510" w:rsidRDefault="00B64510" w:rsidP="00837415">
            <w:pPr>
              <w:suppressAutoHyphens w:val="0"/>
              <w:ind w:firstLine="284"/>
              <w:rPr>
                <w:rFonts w:asciiTheme="minorHAnsi" w:eastAsiaTheme="minorHAnsi" w:hAnsiTheme="minorHAnsi" w:cstheme="minorHAnsi"/>
                <w:sz w:val="22"/>
                <w:szCs w:val="22"/>
                <w:lang w:eastAsia="en-US"/>
              </w:rPr>
            </w:pPr>
            <w:r w:rsidRPr="00B64510">
              <w:rPr>
                <w:rFonts w:asciiTheme="minorHAnsi" w:eastAsiaTheme="minorHAnsi" w:hAnsiTheme="minorHAnsi" w:cstheme="minorHAnsi"/>
                <w:sz w:val="22"/>
                <w:szCs w:val="22"/>
                <w:lang w:eastAsia="en-US"/>
              </w:rPr>
              <w:t>20</w:t>
            </w:r>
          </w:p>
        </w:tc>
      </w:tr>
      <w:tr w:rsidR="00B64510" w:rsidRPr="00B64510" w14:paraId="0186D877" w14:textId="77777777" w:rsidTr="00837415">
        <w:trPr>
          <w:tblCellSpacing w:w="15" w:type="dxa"/>
          <w:jc w:val="center"/>
        </w:trPr>
        <w:tc>
          <w:tcPr>
            <w:tcW w:w="0" w:type="auto"/>
            <w:hideMark/>
          </w:tcPr>
          <w:p w14:paraId="663D9A59" w14:textId="6FC6212C" w:rsidR="00B64510" w:rsidRPr="00B64510" w:rsidRDefault="00B64510" w:rsidP="00837415">
            <w:pPr>
              <w:suppressAutoHyphens w:val="0"/>
              <w:ind w:firstLine="284"/>
              <w:rPr>
                <w:rFonts w:asciiTheme="minorHAnsi" w:eastAsiaTheme="minorHAnsi" w:hAnsiTheme="minorHAnsi" w:cstheme="minorHAnsi"/>
                <w:sz w:val="22"/>
                <w:szCs w:val="22"/>
                <w:lang w:val="en-US" w:eastAsia="en-US"/>
              </w:rPr>
            </w:pPr>
            <w:r w:rsidRPr="00B64510">
              <w:rPr>
                <w:rFonts w:asciiTheme="minorHAnsi" w:eastAsiaTheme="minorHAnsi" w:hAnsiTheme="minorHAnsi" w:cstheme="minorHAnsi"/>
                <w:sz w:val="22"/>
                <w:szCs w:val="22"/>
                <w:lang w:val="en-US" w:eastAsia="en-US"/>
              </w:rPr>
              <w:t>Non-</w:t>
            </w:r>
            <w:r w:rsidR="003262E0" w:rsidRPr="00B64510">
              <w:rPr>
                <w:rFonts w:asciiTheme="minorHAnsi" w:eastAsiaTheme="minorHAnsi" w:hAnsiTheme="minorHAnsi" w:cstheme="minorHAnsi"/>
                <w:sz w:val="22"/>
                <w:szCs w:val="22"/>
                <w:lang w:val="en-US" w:eastAsia="en-US"/>
              </w:rPr>
              <w:t>judgmental</w:t>
            </w:r>
            <w:r w:rsidRPr="00B64510">
              <w:rPr>
                <w:rFonts w:asciiTheme="minorHAnsi" w:eastAsiaTheme="minorHAnsi" w:hAnsiTheme="minorHAnsi" w:cstheme="minorHAnsi"/>
                <w:sz w:val="22"/>
                <w:szCs w:val="22"/>
                <w:lang w:val="en-US" w:eastAsia="en-US"/>
              </w:rPr>
              <w:t xml:space="preserve"> (not critical/derogatory) feedback</w:t>
            </w:r>
          </w:p>
        </w:tc>
        <w:tc>
          <w:tcPr>
            <w:tcW w:w="0" w:type="auto"/>
            <w:hideMark/>
          </w:tcPr>
          <w:p w14:paraId="64573B32" w14:textId="77777777" w:rsidR="00B64510" w:rsidRPr="00B64510" w:rsidRDefault="00B64510" w:rsidP="00837415">
            <w:pPr>
              <w:suppressAutoHyphens w:val="0"/>
              <w:ind w:firstLine="284"/>
              <w:rPr>
                <w:rFonts w:asciiTheme="minorHAnsi" w:eastAsiaTheme="minorHAnsi" w:hAnsiTheme="minorHAnsi" w:cstheme="minorHAnsi"/>
                <w:sz w:val="22"/>
                <w:szCs w:val="22"/>
                <w:lang w:eastAsia="en-US"/>
              </w:rPr>
            </w:pPr>
            <w:r w:rsidRPr="00B64510">
              <w:rPr>
                <w:rFonts w:asciiTheme="minorHAnsi" w:eastAsiaTheme="minorHAnsi" w:hAnsiTheme="minorHAnsi" w:cstheme="minorHAnsi"/>
                <w:sz w:val="22"/>
                <w:szCs w:val="22"/>
                <w:lang w:eastAsia="en-US"/>
              </w:rPr>
              <w:t>13</w:t>
            </w:r>
          </w:p>
        </w:tc>
      </w:tr>
      <w:tr w:rsidR="00B64510" w:rsidRPr="00B64510" w14:paraId="3B8FF15E" w14:textId="77777777" w:rsidTr="00837415">
        <w:trPr>
          <w:tblCellSpacing w:w="15" w:type="dxa"/>
          <w:jc w:val="center"/>
        </w:trPr>
        <w:tc>
          <w:tcPr>
            <w:tcW w:w="0" w:type="auto"/>
            <w:hideMark/>
          </w:tcPr>
          <w:p w14:paraId="2D2B04E7" w14:textId="77777777" w:rsidR="00B64510" w:rsidRPr="00B64510" w:rsidRDefault="00B64510" w:rsidP="00837415">
            <w:pPr>
              <w:suppressAutoHyphens w:val="0"/>
              <w:ind w:firstLine="284"/>
              <w:rPr>
                <w:rFonts w:asciiTheme="minorHAnsi" w:eastAsiaTheme="minorHAnsi" w:hAnsiTheme="minorHAnsi" w:cstheme="minorHAnsi"/>
                <w:sz w:val="22"/>
                <w:szCs w:val="22"/>
                <w:lang w:val="en-US" w:eastAsia="en-US"/>
              </w:rPr>
            </w:pPr>
            <w:r w:rsidRPr="00B64510">
              <w:rPr>
                <w:rFonts w:asciiTheme="minorHAnsi" w:eastAsiaTheme="minorHAnsi" w:hAnsiTheme="minorHAnsi" w:cstheme="minorHAnsi"/>
                <w:sz w:val="22"/>
                <w:szCs w:val="22"/>
                <w:lang w:val="en-US" w:eastAsia="en-US"/>
              </w:rPr>
              <w:t>In-person small-group meetings/workshops</w:t>
            </w:r>
          </w:p>
        </w:tc>
        <w:tc>
          <w:tcPr>
            <w:tcW w:w="0" w:type="auto"/>
            <w:hideMark/>
          </w:tcPr>
          <w:p w14:paraId="6667EA2F" w14:textId="77777777" w:rsidR="00B64510" w:rsidRPr="00B64510" w:rsidRDefault="00B64510" w:rsidP="00837415">
            <w:pPr>
              <w:suppressAutoHyphens w:val="0"/>
              <w:ind w:firstLine="284"/>
              <w:rPr>
                <w:rFonts w:asciiTheme="minorHAnsi" w:eastAsiaTheme="minorHAnsi" w:hAnsiTheme="minorHAnsi" w:cstheme="minorHAnsi"/>
                <w:sz w:val="22"/>
                <w:szCs w:val="22"/>
                <w:lang w:eastAsia="en-US"/>
              </w:rPr>
            </w:pPr>
            <w:r w:rsidRPr="00B64510">
              <w:rPr>
                <w:rFonts w:asciiTheme="minorHAnsi" w:eastAsiaTheme="minorHAnsi" w:hAnsiTheme="minorHAnsi" w:cstheme="minorHAnsi"/>
                <w:sz w:val="22"/>
                <w:szCs w:val="22"/>
                <w:lang w:eastAsia="en-US"/>
              </w:rPr>
              <w:t>16</w:t>
            </w:r>
          </w:p>
        </w:tc>
      </w:tr>
      <w:tr w:rsidR="00B64510" w:rsidRPr="00B64510" w14:paraId="7A7A7766" w14:textId="77777777" w:rsidTr="00837415">
        <w:trPr>
          <w:tblCellSpacing w:w="15" w:type="dxa"/>
          <w:jc w:val="center"/>
        </w:trPr>
        <w:tc>
          <w:tcPr>
            <w:tcW w:w="0" w:type="auto"/>
            <w:hideMark/>
          </w:tcPr>
          <w:p w14:paraId="1C2B6EAE" w14:textId="77777777" w:rsidR="00B64510" w:rsidRPr="00B64510" w:rsidRDefault="00B64510" w:rsidP="00837415">
            <w:pPr>
              <w:suppressAutoHyphens w:val="0"/>
              <w:ind w:firstLine="284"/>
              <w:rPr>
                <w:rFonts w:asciiTheme="minorHAnsi" w:eastAsiaTheme="minorHAnsi" w:hAnsiTheme="minorHAnsi" w:cstheme="minorHAnsi"/>
                <w:sz w:val="22"/>
                <w:szCs w:val="22"/>
                <w:lang w:val="en-US" w:eastAsia="en-US"/>
              </w:rPr>
            </w:pPr>
            <w:r w:rsidRPr="00B64510">
              <w:rPr>
                <w:rFonts w:asciiTheme="minorHAnsi" w:eastAsiaTheme="minorHAnsi" w:hAnsiTheme="minorHAnsi" w:cstheme="minorHAnsi"/>
                <w:sz w:val="22"/>
                <w:szCs w:val="22"/>
                <w:lang w:val="en-US" w:eastAsia="en-US"/>
              </w:rPr>
              <w:t>Provision of ideas/material/practical examples</w:t>
            </w:r>
          </w:p>
        </w:tc>
        <w:tc>
          <w:tcPr>
            <w:tcW w:w="0" w:type="auto"/>
            <w:hideMark/>
          </w:tcPr>
          <w:p w14:paraId="4941C048" w14:textId="77777777" w:rsidR="00B64510" w:rsidRPr="00B64510" w:rsidRDefault="00B64510" w:rsidP="00837415">
            <w:pPr>
              <w:suppressAutoHyphens w:val="0"/>
              <w:ind w:firstLine="284"/>
              <w:rPr>
                <w:rFonts w:asciiTheme="minorHAnsi" w:eastAsiaTheme="minorHAnsi" w:hAnsiTheme="minorHAnsi" w:cstheme="minorHAnsi"/>
                <w:sz w:val="22"/>
                <w:szCs w:val="22"/>
                <w:lang w:eastAsia="en-US"/>
              </w:rPr>
            </w:pPr>
            <w:r w:rsidRPr="00B64510">
              <w:rPr>
                <w:rFonts w:asciiTheme="minorHAnsi" w:eastAsiaTheme="minorHAnsi" w:hAnsiTheme="minorHAnsi" w:cstheme="minorHAnsi"/>
                <w:sz w:val="22"/>
                <w:szCs w:val="22"/>
                <w:lang w:eastAsia="en-US"/>
              </w:rPr>
              <w:t>8</w:t>
            </w:r>
          </w:p>
        </w:tc>
      </w:tr>
      <w:tr w:rsidR="00B64510" w:rsidRPr="00B64510" w14:paraId="0E156BF9" w14:textId="77777777" w:rsidTr="003262E0">
        <w:trPr>
          <w:tblCellSpacing w:w="15" w:type="dxa"/>
          <w:jc w:val="center"/>
        </w:trPr>
        <w:tc>
          <w:tcPr>
            <w:tcW w:w="0" w:type="auto"/>
            <w:tcBorders>
              <w:bottom w:val="single" w:sz="8" w:space="0" w:color="auto"/>
            </w:tcBorders>
            <w:hideMark/>
          </w:tcPr>
          <w:p w14:paraId="47437DD0" w14:textId="77777777" w:rsidR="00B64510" w:rsidRPr="00B64510" w:rsidRDefault="00B64510" w:rsidP="00837415">
            <w:pPr>
              <w:suppressAutoHyphens w:val="0"/>
              <w:ind w:firstLine="284"/>
              <w:rPr>
                <w:rFonts w:asciiTheme="minorHAnsi" w:eastAsiaTheme="minorHAnsi" w:hAnsiTheme="minorHAnsi" w:cstheme="minorHAnsi"/>
                <w:sz w:val="22"/>
                <w:szCs w:val="22"/>
                <w:lang w:val="en-US" w:eastAsia="en-US"/>
              </w:rPr>
            </w:pPr>
            <w:r w:rsidRPr="00B64510">
              <w:rPr>
                <w:rFonts w:asciiTheme="minorHAnsi" w:eastAsiaTheme="minorHAnsi" w:hAnsiTheme="minorHAnsi" w:cstheme="minorHAnsi"/>
                <w:sz w:val="22"/>
                <w:szCs w:val="22"/>
                <w:lang w:val="en-US" w:eastAsia="en-US"/>
              </w:rPr>
              <w:t>Reduced load / smaller groups (ratio)</w:t>
            </w:r>
          </w:p>
        </w:tc>
        <w:tc>
          <w:tcPr>
            <w:tcW w:w="0" w:type="auto"/>
            <w:tcBorders>
              <w:bottom w:val="single" w:sz="8" w:space="0" w:color="auto"/>
            </w:tcBorders>
            <w:hideMark/>
          </w:tcPr>
          <w:p w14:paraId="033E74D9" w14:textId="77777777" w:rsidR="00B64510" w:rsidRPr="00B64510" w:rsidRDefault="00B64510" w:rsidP="00837415">
            <w:pPr>
              <w:suppressAutoHyphens w:val="0"/>
              <w:ind w:firstLine="284"/>
              <w:rPr>
                <w:rFonts w:asciiTheme="minorHAnsi" w:eastAsiaTheme="minorHAnsi" w:hAnsiTheme="minorHAnsi" w:cstheme="minorHAnsi"/>
                <w:sz w:val="22"/>
                <w:szCs w:val="22"/>
                <w:lang w:eastAsia="en-US"/>
              </w:rPr>
            </w:pPr>
            <w:r w:rsidRPr="00B64510">
              <w:rPr>
                <w:rFonts w:asciiTheme="minorHAnsi" w:eastAsiaTheme="minorHAnsi" w:hAnsiTheme="minorHAnsi" w:cstheme="minorHAnsi"/>
                <w:sz w:val="22"/>
                <w:szCs w:val="22"/>
                <w:lang w:eastAsia="en-US"/>
              </w:rPr>
              <w:t>7</w:t>
            </w:r>
          </w:p>
        </w:tc>
      </w:tr>
    </w:tbl>
    <w:p w14:paraId="156562AC" w14:textId="77777777" w:rsidR="00837415" w:rsidRDefault="00837415" w:rsidP="00837415">
      <w:pPr>
        <w:ind w:firstLine="284"/>
        <w:jc w:val="both"/>
        <w:rPr>
          <w:rFonts w:ascii="Calibri" w:hAnsi="Calibri" w:cs="Calibri"/>
          <w:b/>
          <w:bCs/>
          <w:sz w:val="22"/>
          <w:szCs w:val="22"/>
          <w:lang w:val="en-US"/>
        </w:rPr>
      </w:pPr>
    </w:p>
    <w:p w14:paraId="66DBD958" w14:textId="5BC45107" w:rsidR="00B64510" w:rsidRPr="009557D8" w:rsidRDefault="00B64510" w:rsidP="009557D8">
      <w:pPr>
        <w:spacing w:before="240"/>
        <w:ind w:firstLine="284"/>
        <w:outlineLvl w:val="0"/>
        <w:rPr>
          <w:rFonts w:ascii="Calibri" w:hAnsi="Calibri" w:cs="Calibri"/>
          <w:b/>
          <w:bCs/>
          <w:sz w:val="22"/>
          <w:szCs w:val="22"/>
          <w:lang w:val="en-US"/>
        </w:rPr>
      </w:pPr>
      <w:r w:rsidRPr="009557D8">
        <w:rPr>
          <w:rFonts w:ascii="Calibri" w:hAnsi="Calibri" w:cs="Calibri"/>
          <w:b/>
          <w:bCs/>
          <w:sz w:val="22"/>
          <w:szCs w:val="22"/>
          <w:lang w:val="en-US"/>
        </w:rPr>
        <w:t>Discussion and Conclusions</w:t>
      </w:r>
    </w:p>
    <w:p w14:paraId="2E96C703" w14:textId="77777777" w:rsidR="00ED60A7" w:rsidRPr="00E53495" w:rsidRDefault="00ED60A7" w:rsidP="00ED60A7">
      <w:pPr>
        <w:ind w:firstLine="284"/>
        <w:jc w:val="both"/>
        <w:rPr>
          <w:rFonts w:asciiTheme="minorHAnsi" w:hAnsiTheme="minorHAnsi" w:cstheme="minorHAnsi"/>
          <w:sz w:val="22"/>
          <w:szCs w:val="22"/>
          <w:lang w:val="en-US" w:eastAsia="el-GR"/>
        </w:rPr>
      </w:pPr>
      <w:r w:rsidRPr="00E53495">
        <w:rPr>
          <w:rFonts w:asciiTheme="minorHAnsi" w:hAnsiTheme="minorHAnsi" w:cstheme="minorHAnsi"/>
          <w:sz w:val="22"/>
          <w:szCs w:val="22"/>
          <w:lang w:val="en-US" w:eastAsia="el-GR"/>
        </w:rPr>
        <w:t>The present study examined the perceptions, expectations, and proposals of students enrolled in Pedagogical Departments of Early Childhood Education in Greece regarding practicum supervision, with the aim of identifying the parameters that constitute an effective and pedagogically grounded support model in initial teacher education. The findings are discussed in relation to the international literature and lead to a synthetic interpretation of the predominance of supervision, as well as to the articulation of a hybrid supervision model incorporating mentoring elements. These findings resonate with broader international analyses showing that, despite continuous reform efforts, practicum supervision remains marked by enduring challenges related to coherence and role alignment (Heinz, 2024).</w:t>
      </w:r>
    </w:p>
    <w:p w14:paraId="695D820C" w14:textId="68E5D7B1" w:rsidR="00ED60A7" w:rsidRPr="00E53495" w:rsidRDefault="00ED60A7" w:rsidP="00ED60A7">
      <w:pPr>
        <w:ind w:firstLine="284"/>
        <w:jc w:val="both"/>
        <w:rPr>
          <w:rFonts w:asciiTheme="minorHAnsi" w:hAnsiTheme="minorHAnsi" w:cstheme="minorHAnsi"/>
          <w:sz w:val="22"/>
          <w:szCs w:val="22"/>
          <w:lang w:val="en-US" w:eastAsia="el-GR"/>
        </w:rPr>
      </w:pPr>
      <w:r w:rsidRPr="00E53495">
        <w:rPr>
          <w:rFonts w:asciiTheme="minorHAnsi" w:hAnsiTheme="minorHAnsi" w:cstheme="minorHAnsi"/>
          <w:sz w:val="22"/>
          <w:szCs w:val="22"/>
          <w:lang w:val="en-US" w:eastAsia="el-GR"/>
        </w:rPr>
        <w:t xml:space="preserve">With regard to the role and significance of supervision, pre-service teachers primarily </w:t>
      </w:r>
      <w:r w:rsidR="003262E0" w:rsidRPr="00E53495">
        <w:rPr>
          <w:rFonts w:asciiTheme="minorHAnsi" w:hAnsiTheme="minorHAnsi" w:cstheme="minorHAnsi"/>
          <w:sz w:val="22"/>
          <w:szCs w:val="22"/>
          <w:lang w:val="en-US" w:eastAsia="el-GR"/>
        </w:rPr>
        <w:t>conceptualized</w:t>
      </w:r>
      <w:r w:rsidRPr="00E53495">
        <w:rPr>
          <w:rFonts w:asciiTheme="minorHAnsi" w:hAnsiTheme="minorHAnsi" w:cstheme="minorHAnsi"/>
          <w:sz w:val="22"/>
          <w:szCs w:val="22"/>
          <w:lang w:val="en-US" w:eastAsia="el-GR"/>
        </w:rPr>
        <w:t xml:space="preserve"> the supervisor as an advisor and pedagogical guide, with the provision of meaningful feedback identified as a core function. This perception aligns with international literature that </w:t>
      </w:r>
      <w:r w:rsidR="003262E0" w:rsidRPr="00E53495">
        <w:rPr>
          <w:rFonts w:asciiTheme="minorHAnsi" w:hAnsiTheme="minorHAnsi" w:cstheme="minorHAnsi"/>
          <w:sz w:val="22"/>
          <w:szCs w:val="22"/>
          <w:lang w:val="en-US" w:eastAsia="el-GR"/>
        </w:rPr>
        <w:t>conceptualizes</w:t>
      </w:r>
      <w:r w:rsidRPr="00E53495">
        <w:rPr>
          <w:rFonts w:asciiTheme="minorHAnsi" w:hAnsiTheme="minorHAnsi" w:cstheme="minorHAnsi"/>
          <w:sz w:val="22"/>
          <w:szCs w:val="22"/>
          <w:lang w:val="en-US" w:eastAsia="el-GR"/>
        </w:rPr>
        <w:t xml:space="preserve"> practicum supervision as a structured pedagogical process rather than a mechanism of control or evaluation (Glickman et al., 2024). At the same time, the emphasis on advisory and guiding functions confirms that pre-service teachers, particularly in the early stages of their professional development, expect support that helps them </w:t>
      </w:r>
      <w:r w:rsidR="003262E0" w:rsidRPr="00E53495">
        <w:rPr>
          <w:rFonts w:asciiTheme="minorHAnsi" w:hAnsiTheme="minorHAnsi" w:cstheme="minorHAnsi"/>
          <w:sz w:val="22"/>
          <w:szCs w:val="22"/>
          <w:lang w:val="en-US" w:eastAsia="el-GR"/>
        </w:rPr>
        <w:t>organize</w:t>
      </w:r>
      <w:r w:rsidRPr="00E53495">
        <w:rPr>
          <w:rFonts w:asciiTheme="minorHAnsi" w:hAnsiTheme="minorHAnsi" w:cstheme="minorHAnsi"/>
          <w:sz w:val="22"/>
          <w:szCs w:val="22"/>
          <w:lang w:val="en-US" w:eastAsia="el-GR"/>
        </w:rPr>
        <w:t xml:space="preserve"> their teaching experiences and transform theoretical knowledge into practical action (Darling-Hammond, 2017). This </w:t>
      </w:r>
      <w:r w:rsidR="003262E0" w:rsidRPr="00E53495">
        <w:rPr>
          <w:rFonts w:asciiTheme="minorHAnsi" w:hAnsiTheme="minorHAnsi" w:cstheme="minorHAnsi"/>
          <w:sz w:val="22"/>
          <w:szCs w:val="22"/>
          <w:lang w:val="en-US" w:eastAsia="el-GR"/>
        </w:rPr>
        <w:t>conceptualization</w:t>
      </w:r>
      <w:r w:rsidRPr="00E53495">
        <w:rPr>
          <w:rFonts w:asciiTheme="minorHAnsi" w:hAnsiTheme="minorHAnsi" w:cstheme="minorHAnsi"/>
          <w:sz w:val="22"/>
          <w:szCs w:val="22"/>
          <w:lang w:val="en-US" w:eastAsia="el-GR"/>
        </w:rPr>
        <w:t xml:space="preserve"> resonates with contemporary perspectives that frame the supervisor’s role as facilitative and dialogical, </w:t>
      </w:r>
      <w:r w:rsidR="003262E0" w:rsidRPr="00E53495">
        <w:rPr>
          <w:rFonts w:asciiTheme="minorHAnsi" w:hAnsiTheme="minorHAnsi" w:cstheme="minorHAnsi"/>
          <w:sz w:val="22"/>
          <w:szCs w:val="22"/>
          <w:lang w:val="en-US" w:eastAsia="el-GR"/>
        </w:rPr>
        <w:t>emphasizing</w:t>
      </w:r>
      <w:r w:rsidRPr="00E53495">
        <w:rPr>
          <w:rFonts w:asciiTheme="minorHAnsi" w:hAnsiTheme="minorHAnsi" w:cstheme="minorHAnsi"/>
          <w:sz w:val="22"/>
          <w:szCs w:val="22"/>
          <w:lang w:val="en-US" w:eastAsia="el-GR"/>
        </w:rPr>
        <w:t xml:space="preserve"> coaching-oriented interactions that support professional learning rather than directive control (</w:t>
      </w:r>
      <w:proofErr w:type="spellStart"/>
      <w:r w:rsidRPr="00E53495">
        <w:rPr>
          <w:rFonts w:asciiTheme="minorHAnsi" w:hAnsiTheme="minorHAnsi" w:cstheme="minorHAnsi"/>
          <w:sz w:val="22"/>
          <w:szCs w:val="22"/>
          <w:lang w:val="en-US" w:eastAsia="el-GR"/>
        </w:rPr>
        <w:t>Lofthouse</w:t>
      </w:r>
      <w:proofErr w:type="spellEnd"/>
      <w:r w:rsidRPr="00E53495">
        <w:rPr>
          <w:rFonts w:asciiTheme="minorHAnsi" w:hAnsiTheme="minorHAnsi" w:cstheme="minorHAnsi"/>
          <w:sz w:val="22"/>
          <w:szCs w:val="22"/>
          <w:lang w:val="en-US" w:eastAsia="el-GR"/>
        </w:rPr>
        <w:t>, 2019).</w:t>
      </w:r>
    </w:p>
    <w:p w14:paraId="4352FCE5" w14:textId="4A1AF459" w:rsidR="00ED60A7" w:rsidRPr="00E53495" w:rsidRDefault="00ED60A7" w:rsidP="00ED60A7">
      <w:pPr>
        <w:ind w:firstLine="284"/>
        <w:jc w:val="both"/>
        <w:rPr>
          <w:rFonts w:asciiTheme="minorHAnsi" w:hAnsiTheme="minorHAnsi" w:cstheme="minorHAnsi"/>
          <w:sz w:val="22"/>
          <w:szCs w:val="22"/>
          <w:lang w:val="en-US" w:eastAsia="el-GR"/>
        </w:rPr>
      </w:pPr>
      <w:r w:rsidRPr="00E53495">
        <w:rPr>
          <w:rFonts w:asciiTheme="minorHAnsi" w:hAnsiTheme="minorHAnsi" w:cstheme="minorHAnsi"/>
          <w:sz w:val="22"/>
          <w:szCs w:val="22"/>
          <w:lang w:val="en-US" w:eastAsia="el-GR"/>
        </w:rPr>
        <w:t xml:space="preserve">The frequent reference to feedback as a central function of supervision reinforces the position that feedback constitutes a critical mechanism for professional learning, especially when it is structured and systematically </w:t>
      </w:r>
      <w:r w:rsidR="003262E0" w:rsidRPr="00E53495">
        <w:rPr>
          <w:rFonts w:asciiTheme="minorHAnsi" w:hAnsiTheme="minorHAnsi" w:cstheme="minorHAnsi"/>
          <w:sz w:val="22"/>
          <w:szCs w:val="22"/>
          <w:lang w:val="en-US" w:eastAsia="el-GR"/>
        </w:rPr>
        <w:t>organized</w:t>
      </w:r>
      <w:r w:rsidRPr="00E53495">
        <w:rPr>
          <w:rFonts w:asciiTheme="minorHAnsi" w:hAnsiTheme="minorHAnsi" w:cstheme="minorHAnsi"/>
          <w:sz w:val="22"/>
          <w:szCs w:val="22"/>
          <w:lang w:val="en-US" w:eastAsia="el-GR"/>
        </w:rPr>
        <w:t xml:space="preserve"> (</w:t>
      </w:r>
      <w:proofErr w:type="spellStart"/>
      <w:r w:rsidRPr="00E53495">
        <w:rPr>
          <w:rFonts w:asciiTheme="minorHAnsi" w:hAnsiTheme="minorHAnsi" w:cstheme="minorHAnsi"/>
          <w:sz w:val="22"/>
          <w:szCs w:val="22"/>
          <w:lang w:val="en-US" w:eastAsia="el-GR"/>
        </w:rPr>
        <w:t>Asregid</w:t>
      </w:r>
      <w:proofErr w:type="spellEnd"/>
      <w:r w:rsidRPr="00E53495">
        <w:rPr>
          <w:rFonts w:asciiTheme="minorHAnsi" w:hAnsiTheme="minorHAnsi" w:cstheme="minorHAnsi"/>
          <w:sz w:val="22"/>
          <w:szCs w:val="22"/>
          <w:lang w:val="en-US" w:eastAsia="el-GR"/>
        </w:rPr>
        <w:t xml:space="preserve">, 2025), targeted, dialogic, and oriented towards the improvement of practice (Hattie &amp; Timperley, 2007). </w:t>
      </w:r>
      <w:r w:rsidRPr="00E53495">
        <w:rPr>
          <w:rFonts w:asciiTheme="minorHAnsi" w:hAnsiTheme="minorHAnsi" w:cstheme="minorHAnsi"/>
          <w:sz w:val="22"/>
          <w:szCs w:val="22"/>
          <w:lang w:val="en-US"/>
        </w:rPr>
        <w:t xml:space="preserve">Empirical evidence further suggests that feedback and mentoring practices contribute most effectively to professional learning when they are embedded within structured and reflective supervisory </w:t>
      </w:r>
      <w:r w:rsidRPr="00E53495">
        <w:rPr>
          <w:rFonts w:asciiTheme="minorHAnsi" w:hAnsiTheme="minorHAnsi" w:cstheme="minorHAnsi"/>
          <w:sz w:val="22"/>
          <w:szCs w:val="22"/>
          <w:lang w:val="en-US"/>
        </w:rPr>
        <w:lastRenderedPageBreak/>
        <w:t>frameworks, rather than operating as isolated or informal forms of support (</w:t>
      </w:r>
      <w:proofErr w:type="spellStart"/>
      <w:r w:rsidRPr="00E53495">
        <w:rPr>
          <w:rFonts w:asciiTheme="minorHAnsi" w:hAnsiTheme="minorHAnsi" w:cstheme="minorHAnsi"/>
          <w:sz w:val="22"/>
          <w:szCs w:val="22"/>
          <w:lang w:val="en-US"/>
        </w:rPr>
        <w:t>Kalsoom</w:t>
      </w:r>
      <w:proofErr w:type="spellEnd"/>
      <w:r w:rsidRPr="00E53495">
        <w:rPr>
          <w:rFonts w:asciiTheme="minorHAnsi" w:hAnsiTheme="minorHAnsi" w:cstheme="minorHAnsi"/>
          <w:sz w:val="22"/>
          <w:szCs w:val="22"/>
          <w:lang w:val="en-US"/>
        </w:rPr>
        <w:t xml:space="preserve"> et al., 2019).</w:t>
      </w:r>
      <w:r w:rsidRPr="00E53495">
        <w:rPr>
          <w:rFonts w:asciiTheme="minorHAnsi" w:hAnsiTheme="minorHAnsi" w:cstheme="minorHAnsi"/>
          <w:sz w:val="22"/>
          <w:szCs w:val="22"/>
          <w:lang w:val="en-US" w:eastAsia="el-GR"/>
        </w:rPr>
        <w:t>The qualitative findings indicate that students do not perceive feedback as fragmented or incidental commentary, but rather as a process closely linked to feelings of safety, encouragement, and professional empowerment. This dimension is consistent with recent research highlighting the role of support and “high-quality relationships” in fostering psychological safety and engagement during the practicum (</w:t>
      </w:r>
      <w:proofErr w:type="spellStart"/>
      <w:r w:rsidRPr="00E53495">
        <w:rPr>
          <w:rFonts w:asciiTheme="minorHAnsi" w:hAnsiTheme="minorHAnsi" w:cstheme="minorHAnsi"/>
          <w:sz w:val="22"/>
          <w:szCs w:val="22"/>
          <w:lang w:val="en-US" w:eastAsia="el-GR"/>
        </w:rPr>
        <w:t>Dreer</w:t>
      </w:r>
      <w:proofErr w:type="spellEnd"/>
      <w:r w:rsidRPr="00E53495">
        <w:rPr>
          <w:rFonts w:asciiTheme="minorHAnsi" w:hAnsiTheme="minorHAnsi" w:cstheme="minorHAnsi"/>
          <w:sz w:val="22"/>
          <w:szCs w:val="22"/>
          <w:lang w:val="en-US" w:eastAsia="el-GR"/>
        </w:rPr>
        <w:t>-Goethe, 2025). Moreover, supervised practicum experiences have been shown to play a critical role in the formation of pre-service teachers’ professional identity, particularly when reflective dialogue and feedback are systematically integrated into supervisory practices (</w:t>
      </w:r>
      <w:proofErr w:type="spellStart"/>
      <w:r w:rsidRPr="00E53495">
        <w:rPr>
          <w:rFonts w:asciiTheme="minorHAnsi" w:hAnsiTheme="minorHAnsi" w:cstheme="minorHAnsi"/>
          <w:sz w:val="22"/>
          <w:szCs w:val="22"/>
          <w:lang w:val="en-US" w:eastAsia="el-GR"/>
        </w:rPr>
        <w:t>Toh</w:t>
      </w:r>
      <w:proofErr w:type="spellEnd"/>
      <w:r w:rsidRPr="00E53495">
        <w:rPr>
          <w:rFonts w:asciiTheme="minorHAnsi" w:hAnsiTheme="minorHAnsi" w:cstheme="minorHAnsi"/>
          <w:sz w:val="22"/>
          <w:szCs w:val="22"/>
          <w:lang w:val="en-US" w:eastAsia="el-GR"/>
        </w:rPr>
        <w:t xml:space="preserve"> et al., 2022).</w:t>
      </w:r>
    </w:p>
    <w:p w14:paraId="61BCC4AA" w14:textId="77BF70C2" w:rsidR="00ED60A7" w:rsidRPr="00E53495" w:rsidRDefault="00ED60A7" w:rsidP="00ED60A7">
      <w:pPr>
        <w:ind w:firstLine="284"/>
        <w:jc w:val="both"/>
        <w:rPr>
          <w:rFonts w:asciiTheme="minorHAnsi" w:hAnsiTheme="minorHAnsi" w:cstheme="minorHAnsi"/>
          <w:sz w:val="22"/>
          <w:szCs w:val="22"/>
          <w:lang w:val="en-US" w:eastAsia="el-GR"/>
        </w:rPr>
      </w:pPr>
      <w:r w:rsidRPr="00E53495">
        <w:rPr>
          <w:rFonts w:asciiTheme="minorHAnsi" w:hAnsiTheme="minorHAnsi" w:cstheme="minorHAnsi"/>
          <w:sz w:val="22"/>
          <w:szCs w:val="22"/>
          <w:lang w:val="en-US" w:eastAsia="el-GR"/>
        </w:rPr>
        <w:t xml:space="preserve">Regarding the characteristics and practices of an effective supervision model, the findings reveal a clear preference for teaching experience in early childhood education and relevance to the field over narrow scientific </w:t>
      </w:r>
      <w:r w:rsidR="003262E0" w:rsidRPr="00E53495">
        <w:rPr>
          <w:rFonts w:asciiTheme="minorHAnsi" w:hAnsiTheme="minorHAnsi" w:cstheme="minorHAnsi"/>
          <w:sz w:val="22"/>
          <w:szCs w:val="22"/>
          <w:lang w:val="en-US" w:eastAsia="el-GR"/>
        </w:rPr>
        <w:t>specialization</w:t>
      </w:r>
      <w:r w:rsidRPr="00E53495">
        <w:rPr>
          <w:rFonts w:asciiTheme="minorHAnsi" w:hAnsiTheme="minorHAnsi" w:cstheme="minorHAnsi"/>
          <w:sz w:val="22"/>
          <w:szCs w:val="22"/>
          <w:lang w:val="en-US" w:eastAsia="el-GR"/>
        </w:rPr>
        <w:t>. This trend suggests that pre-service teachers place particular value on the supervisor’s applied credibility and ability to understand the realities of classroom practice. This finding is consistent with international studies indicating that effective practicum guidance requires familiarity with the school context and the capacity to connect theory with everyday instructional decision-making (Clarke et al., 2014).</w:t>
      </w:r>
    </w:p>
    <w:p w14:paraId="21D1A80B" w14:textId="2574D5E1" w:rsidR="00ED60A7" w:rsidRPr="00E53495" w:rsidRDefault="00ED60A7" w:rsidP="00ED60A7">
      <w:pPr>
        <w:ind w:firstLine="284"/>
        <w:jc w:val="both"/>
        <w:rPr>
          <w:rFonts w:asciiTheme="minorHAnsi" w:hAnsiTheme="minorHAnsi" w:cstheme="minorHAnsi"/>
          <w:sz w:val="22"/>
          <w:szCs w:val="22"/>
          <w:lang w:val="en-US" w:eastAsia="el-GR"/>
        </w:rPr>
      </w:pPr>
      <w:r w:rsidRPr="00E53495">
        <w:rPr>
          <w:rFonts w:asciiTheme="minorHAnsi" w:hAnsiTheme="minorHAnsi" w:cstheme="minorHAnsi"/>
          <w:sz w:val="22"/>
          <w:szCs w:val="22"/>
          <w:lang w:val="en-US" w:eastAsia="el-GR"/>
        </w:rPr>
        <w:t xml:space="preserve">Particular significance is attributed to the predominance of in-person small-group workshops as the preferred feedback context. This preference supports the view that reflective and critical processes are facilitated in small, dialogic settings, where students can discuss concrete examples from their practice and receive </w:t>
      </w:r>
      <w:r w:rsidR="003262E0" w:rsidRPr="00E53495">
        <w:rPr>
          <w:rFonts w:asciiTheme="minorHAnsi" w:hAnsiTheme="minorHAnsi" w:cstheme="minorHAnsi"/>
          <w:sz w:val="22"/>
          <w:szCs w:val="22"/>
          <w:lang w:val="en-US" w:eastAsia="el-GR"/>
        </w:rPr>
        <w:t>individualized</w:t>
      </w:r>
      <w:r w:rsidRPr="00E53495">
        <w:rPr>
          <w:rFonts w:asciiTheme="minorHAnsi" w:hAnsiTheme="minorHAnsi" w:cstheme="minorHAnsi"/>
          <w:sz w:val="22"/>
          <w:szCs w:val="22"/>
          <w:lang w:val="en-US" w:eastAsia="el-GR"/>
        </w:rPr>
        <w:t xml:space="preserve"> guidance. Recent studies examining mentoring and supervisory dialogue through collaborative observational tools highlight that mentoring and supervision conversations become more meaningful when structured around shared language, discussion protocols, and observational evidence—features that align closely with workshop-based, small-group formats (</w:t>
      </w:r>
      <w:proofErr w:type="spellStart"/>
      <w:r w:rsidRPr="00E53495">
        <w:rPr>
          <w:rFonts w:asciiTheme="minorHAnsi" w:hAnsiTheme="minorHAnsi" w:cstheme="minorHAnsi"/>
          <w:sz w:val="22"/>
          <w:szCs w:val="22"/>
          <w:lang w:val="en-US" w:eastAsia="el-GR"/>
        </w:rPr>
        <w:t>Goldshaft</w:t>
      </w:r>
      <w:proofErr w:type="spellEnd"/>
      <w:r w:rsidRPr="00E53495">
        <w:rPr>
          <w:rFonts w:asciiTheme="minorHAnsi" w:hAnsiTheme="minorHAnsi" w:cstheme="minorHAnsi"/>
          <w:sz w:val="22"/>
          <w:szCs w:val="22"/>
          <w:lang w:val="en-US" w:eastAsia="el-GR"/>
        </w:rPr>
        <w:t xml:space="preserve">, 2024; </w:t>
      </w:r>
      <w:proofErr w:type="spellStart"/>
      <w:r w:rsidRPr="00E53495">
        <w:rPr>
          <w:rFonts w:asciiTheme="minorHAnsi" w:hAnsiTheme="minorHAnsi" w:cstheme="minorHAnsi"/>
          <w:sz w:val="22"/>
          <w:szCs w:val="22"/>
          <w:lang w:val="en-US" w:eastAsia="el-GR"/>
        </w:rPr>
        <w:t>Hunskaar</w:t>
      </w:r>
      <w:proofErr w:type="spellEnd"/>
      <w:r w:rsidRPr="00E53495">
        <w:rPr>
          <w:rFonts w:asciiTheme="minorHAnsi" w:hAnsiTheme="minorHAnsi" w:cstheme="minorHAnsi"/>
          <w:sz w:val="22"/>
          <w:szCs w:val="22"/>
          <w:lang w:val="en-US" w:eastAsia="el-GR"/>
        </w:rPr>
        <w:t xml:space="preserve"> et al., 2025). Although digital forms of support are </w:t>
      </w:r>
      <w:r w:rsidR="003262E0" w:rsidRPr="00E53495">
        <w:rPr>
          <w:rFonts w:asciiTheme="minorHAnsi" w:hAnsiTheme="minorHAnsi" w:cstheme="minorHAnsi"/>
          <w:sz w:val="22"/>
          <w:szCs w:val="22"/>
          <w:lang w:val="en-US" w:eastAsia="el-GR"/>
        </w:rPr>
        <w:t>recognized</w:t>
      </w:r>
      <w:r w:rsidRPr="00E53495">
        <w:rPr>
          <w:rFonts w:asciiTheme="minorHAnsi" w:hAnsiTheme="minorHAnsi" w:cstheme="minorHAnsi"/>
          <w:sz w:val="22"/>
          <w:szCs w:val="22"/>
          <w:lang w:val="en-US" w:eastAsia="el-GR"/>
        </w:rPr>
        <w:t xml:space="preserve"> as useful, they appear to function primarily as complementary rather than as substitutes for direct pedagogical interaction. This finding is consistent with recent research on hybrid supervision models, which indicates that despite technological affordances, embodied, face-to-face communication remains critical to feedback quality (Agnew et al., 2024).</w:t>
      </w:r>
    </w:p>
    <w:p w14:paraId="03287243" w14:textId="3BF9C4B8" w:rsidR="00ED60A7" w:rsidRPr="00E53495" w:rsidRDefault="00ED60A7" w:rsidP="00ED60A7">
      <w:pPr>
        <w:ind w:firstLine="284"/>
        <w:jc w:val="both"/>
        <w:rPr>
          <w:rFonts w:asciiTheme="minorHAnsi" w:hAnsiTheme="minorHAnsi" w:cstheme="minorHAnsi"/>
          <w:sz w:val="22"/>
          <w:szCs w:val="22"/>
          <w:lang w:val="en-US" w:eastAsia="el-GR"/>
        </w:rPr>
      </w:pPr>
      <w:r w:rsidRPr="00E53495">
        <w:rPr>
          <w:rFonts w:asciiTheme="minorHAnsi" w:hAnsiTheme="minorHAnsi" w:cstheme="minorHAnsi"/>
          <w:sz w:val="22"/>
          <w:szCs w:val="22"/>
          <w:lang w:val="en-US" w:eastAsia="el-GR"/>
        </w:rPr>
        <w:t xml:space="preserve">Students’ expectations for weekly (or more frequent) communication, adequate supervisor preparation, and a low supervisor–student ratio (1:10) underscore the importance of the </w:t>
      </w:r>
      <w:r w:rsidR="003262E0" w:rsidRPr="00E53495">
        <w:rPr>
          <w:rFonts w:asciiTheme="minorHAnsi" w:hAnsiTheme="minorHAnsi" w:cstheme="minorHAnsi"/>
          <w:sz w:val="22"/>
          <w:szCs w:val="22"/>
          <w:lang w:val="en-US" w:eastAsia="el-GR"/>
        </w:rPr>
        <w:t>organizational</w:t>
      </w:r>
      <w:r w:rsidRPr="00E53495">
        <w:rPr>
          <w:rFonts w:asciiTheme="minorHAnsi" w:hAnsiTheme="minorHAnsi" w:cstheme="minorHAnsi"/>
          <w:sz w:val="22"/>
          <w:szCs w:val="22"/>
          <w:lang w:val="en-US" w:eastAsia="el-GR"/>
        </w:rPr>
        <w:t xml:space="preserve"> conditions of supervision and converge with the conception of supervision as a systematic process (Glickman et al., 2024). </w:t>
      </w:r>
      <w:r w:rsidR="00284256" w:rsidRPr="00284256">
        <w:rPr>
          <w:rFonts w:asciiTheme="minorHAnsi" w:hAnsiTheme="minorHAnsi" w:cstheme="minorHAnsi"/>
          <w:sz w:val="22"/>
          <w:szCs w:val="22"/>
          <w:lang w:val="en-US" w:eastAsia="el-GR"/>
        </w:rPr>
        <w:t>Recent research further indicates that the quality of supervision is strongly shaped—and often constrained—by structural conditions such as workload, time pressure, and institutional demands, highlighting the need for clearly structured and sustainable supervisory arrangements (</w:t>
      </w:r>
      <w:proofErr w:type="spellStart"/>
      <w:r w:rsidR="00284256" w:rsidRPr="00284256">
        <w:rPr>
          <w:rFonts w:asciiTheme="minorHAnsi" w:hAnsiTheme="minorHAnsi" w:cstheme="minorHAnsi"/>
          <w:sz w:val="22"/>
          <w:szCs w:val="22"/>
          <w:lang w:val="en-US" w:eastAsia="el-GR"/>
        </w:rPr>
        <w:t>Bjørndal</w:t>
      </w:r>
      <w:proofErr w:type="spellEnd"/>
      <w:r w:rsidR="00284256" w:rsidRPr="00284256">
        <w:rPr>
          <w:rFonts w:asciiTheme="minorHAnsi" w:hAnsiTheme="minorHAnsi" w:cstheme="minorHAnsi"/>
          <w:sz w:val="22"/>
          <w:szCs w:val="22"/>
          <w:lang w:val="en-US" w:eastAsia="el-GR"/>
        </w:rPr>
        <w:t xml:space="preserve"> et al., 2024).</w:t>
      </w:r>
      <w:r w:rsidR="00284256">
        <w:rPr>
          <w:rFonts w:asciiTheme="minorHAnsi" w:hAnsiTheme="minorHAnsi" w:cstheme="minorHAnsi"/>
          <w:sz w:val="22"/>
          <w:szCs w:val="22"/>
          <w:lang w:val="en-US" w:eastAsia="el-GR"/>
        </w:rPr>
        <w:t xml:space="preserve"> </w:t>
      </w:r>
      <w:r w:rsidRPr="00E53495">
        <w:rPr>
          <w:rFonts w:asciiTheme="minorHAnsi" w:hAnsiTheme="minorHAnsi" w:cstheme="minorHAnsi"/>
          <w:sz w:val="22"/>
          <w:szCs w:val="22"/>
          <w:lang w:val="en-US" w:eastAsia="el-GR"/>
        </w:rPr>
        <w:t xml:space="preserve">These findings also illuminate practical constraints identified in the international literature regarding the implementation of mentoring as an exclusive support model, including time limitations, increased workload, role ambiguity, resource constraints, and the often unrecognized, “hidden </w:t>
      </w:r>
      <w:proofErr w:type="spellStart"/>
      <w:r w:rsidR="003262E0" w:rsidRPr="00E53495">
        <w:rPr>
          <w:rFonts w:asciiTheme="minorHAnsi" w:hAnsiTheme="minorHAnsi" w:cstheme="minorHAnsi"/>
          <w:sz w:val="22"/>
          <w:szCs w:val="22"/>
          <w:lang w:val="en-US" w:eastAsia="el-GR"/>
        </w:rPr>
        <w:t>labo</w:t>
      </w:r>
      <w:r w:rsidR="00723973">
        <w:rPr>
          <w:rFonts w:asciiTheme="minorHAnsi" w:hAnsiTheme="minorHAnsi" w:cstheme="minorHAnsi"/>
          <w:sz w:val="22"/>
          <w:szCs w:val="22"/>
          <w:lang w:val="en-US" w:eastAsia="el-GR"/>
        </w:rPr>
        <w:t>u</w:t>
      </w:r>
      <w:r w:rsidR="003262E0" w:rsidRPr="00E53495">
        <w:rPr>
          <w:rFonts w:asciiTheme="minorHAnsi" w:hAnsiTheme="minorHAnsi" w:cstheme="minorHAnsi"/>
          <w:sz w:val="22"/>
          <w:szCs w:val="22"/>
          <w:lang w:val="en-US" w:eastAsia="el-GR"/>
        </w:rPr>
        <w:t>r</w:t>
      </w:r>
      <w:proofErr w:type="spellEnd"/>
      <w:r w:rsidRPr="00E53495">
        <w:rPr>
          <w:rFonts w:asciiTheme="minorHAnsi" w:hAnsiTheme="minorHAnsi" w:cstheme="minorHAnsi"/>
          <w:sz w:val="22"/>
          <w:szCs w:val="22"/>
          <w:lang w:val="en-US" w:eastAsia="el-GR"/>
        </w:rPr>
        <w:t>” of mentors and practicum supporters (</w:t>
      </w:r>
      <w:proofErr w:type="spellStart"/>
      <w:r w:rsidRPr="00E53495">
        <w:rPr>
          <w:rFonts w:asciiTheme="minorHAnsi" w:hAnsiTheme="minorHAnsi" w:cstheme="minorHAnsi"/>
          <w:sz w:val="22"/>
          <w:szCs w:val="22"/>
          <w:lang w:val="en-US" w:eastAsia="el-GR"/>
        </w:rPr>
        <w:t>Byth</w:t>
      </w:r>
      <w:proofErr w:type="spellEnd"/>
      <w:r w:rsidRPr="00E53495">
        <w:rPr>
          <w:rFonts w:asciiTheme="minorHAnsi" w:hAnsiTheme="minorHAnsi" w:cstheme="minorHAnsi"/>
          <w:sz w:val="22"/>
          <w:szCs w:val="22"/>
          <w:lang w:val="en-US" w:eastAsia="el-GR"/>
        </w:rPr>
        <w:t xml:space="preserve">, 2024; </w:t>
      </w:r>
      <w:proofErr w:type="spellStart"/>
      <w:r w:rsidRPr="00E53495">
        <w:rPr>
          <w:rFonts w:asciiTheme="minorHAnsi" w:hAnsiTheme="minorHAnsi" w:cstheme="minorHAnsi"/>
          <w:sz w:val="22"/>
          <w:szCs w:val="22"/>
          <w:lang w:val="en-US" w:eastAsia="el-GR"/>
        </w:rPr>
        <w:t>Letloenyane</w:t>
      </w:r>
      <w:proofErr w:type="spellEnd"/>
      <w:r w:rsidRPr="00E53495">
        <w:rPr>
          <w:rFonts w:asciiTheme="minorHAnsi" w:hAnsiTheme="minorHAnsi" w:cstheme="minorHAnsi"/>
          <w:sz w:val="22"/>
          <w:szCs w:val="22"/>
          <w:lang w:val="en-US" w:eastAsia="el-GR"/>
        </w:rPr>
        <w:t xml:space="preserve"> et al., 2025). From this perspective, students’ preference for structured supervisory practices can be interpreted as a search for stability, consistency, and pedagogical clarity.</w:t>
      </w:r>
    </w:p>
    <w:p w14:paraId="41B413A9" w14:textId="6460CF18" w:rsidR="00ED60A7" w:rsidRPr="00E53495" w:rsidRDefault="00ED60A7" w:rsidP="00ED60A7">
      <w:pPr>
        <w:ind w:firstLine="284"/>
        <w:jc w:val="both"/>
        <w:rPr>
          <w:rFonts w:asciiTheme="minorHAnsi" w:hAnsiTheme="minorHAnsi" w:cstheme="minorHAnsi"/>
          <w:sz w:val="22"/>
          <w:szCs w:val="22"/>
          <w:lang w:val="en-US" w:eastAsia="el-GR"/>
        </w:rPr>
      </w:pPr>
      <w:r w:rsidRPr="00E53495">
        <w:rPr>
          <w:rFonts w:asciiTheme="minorHAnsi" w:hAnsiTheme="minorHAnsi" w:cstheme="minorHAnsi"/>
          <w:sz w:val="22"/>
          <w:szCs w:val="22"/>
          <w:lang w:val="en-US" w:eastAsia="el-GR"/>
        </w:rPr>
        <w:t>The nearly even distribution of responses regarding the appropriate timing for initiating collaboration with a supervisor (early, mid-program, or later stages) reflects different pedagogical rationales: (</w:t>
      </w:r>
      <w:proofErr w:type="spellStart"/>
      <w:r w:rsidRPr="00E53495">
        <w:rPr>
          <w:rFonts w:asciiTheme="minorHAnsi" w:hAnsiTheme="minorHAnsi" w:cstheme="minorHAnsi"/>
          <w:sz w:val="22"/>
          <w:szCs w:val="22"/>
          <w:lang w:val="en-US" w:eastAsia="el-GR"/>
        </w:rPr>
        <w:t>i</w:t>
      </w:r>
      <w:proofErr w:type="spellEnd"/>
      <w:r w:rsidRPr="00E53495">
        <w:rPr>
          <w:rFonts w:asciiTheme="minorHAnsi" w:hAnsiTheme="minorHAnsi" w:cstheme="minorHAnsi"/>
          <w:sz w:val="22"/>
          <w:szCs w:val="22"/>
          <w:lang w:val="en-US" w:eastAsia="el-GR"/>
        </w:rPr>
        <w:t xml:space="preserve">) the need for early </w:t>
      </w:r>
      <w:r w:rsidR="00723973" w:rsidRPr="00E53495">
        <w:rPr>
          <w:rFonts w:asciiTheme="minorHAnsi" w:hAnsiTheme="minorHAnsi" w:cstheme="minorHAnsi"/>
          <w:sz w:val="22"/>
          <w:szCs w:val="22"/>
          <w:lang w:val="en-US" w:eastAsia="el-GR"/>
        </w:rPr>
        <w:t>familiarization</w:t>
      </w:r>
      <w:r w:rsidRPr="00E53495">
        <w:rPr>
          <w:rFonts w:asciiTheme="minorHAnsi" w:hAnsiTheme="minorHAnsi" w:cstheme="minorHAnsi"/>
          <w:sz w:val="22"/>
          <w:szCs w:val="22"/>
          <w:lang w:val="en-US" w:eastAsia="el-GR"/>
        </w:rPr>
        <w:t xml:space="preserve"> and a sense of safety, (ii) the need for a solid theoretical foundation and maturity, and (iii) the need for accumulated experience and readiness. This differentiation aligns with international findings suggesting that pre-service teachers experience the practicum as a dynamic learning context shaped by personal and situational factors and developing in non-linear ways (Li et al., 2023).</w:t>
      </w:r>
    </w:p>
    <w:p w14:paraId="34631164" w14:textId="033A6975" w:rsidR="00ED60A7" w:rsidRPr="00E53495" w:rsidRDefault="00ED60A7" w:rsidP="00ED60A7">
      <w:pPr>
        <w:ind w:firstLine="284"/>
        <w:jc w:val="both"/>
        <w:rPr>
          <w:rFonts w:asciiTheme="minorHAnsi" w:hAnsiTheme="minorHAnsi" w:cstheme="minorHAnsi"/>
          <w:sz w:val="22"/>
          <w:szCs w:val="22"/>
          <w:lang w:val="en-US" w:eastAsia="el-GR"/>
        </w:rPr>
      </w:pPr>
      <w:r w:rsidRPr="00E53495">
        <w:rPr>
          <w:rFonts w:asciiTheme="minorHAnsi" w:hAnsiTheme="minorHAnsi" w:cstheme="minorHAnsi"/>
          <w:sz w:val="22"/>
          <w:szCs w:val="22"/>
          <w:lang w:val="en-US" w:eastAsia="el-GR"/>
        </w:rPr>
        <w:t xml:space="preserve">The improvement proposals articulated by the students form a coherent framework that does not reject mentoring but instead integrates it functionally within a hybrid model. </w:t>
      </w:r>
      <w:r w:rsidRPr="00E53495">
        <w:rPr>
          <w:rFonts w:asciiTheme="minorHAnsi" w:hAnsiTheme="minorHAnsi" w:cstheme="minorHAnsi"/>
          <w:sz w:val="22"/>
          <w:szCs w:val="22"/>
          <w:lang w:val="en-US" w:eastAsia="el-GR"/>
        </w:rPr>
        <w:lastRenderedPageBreak/>
        <w:t xml:space="preserve">Specifically, students call for structural features of supervision (stable communication, preparation, small groups, and clearly defined roles), alongside qualitative mentoring elements (supportive and </w:t>
      </w:r>
      <w:r w:rsidR="00723973" w:rsidRPr="00E53495">
        <w:rPr>
          <w:rFonts w:asciiTheme="minorHAnsi" w:hAnsiTheme="minorHAnsi" w:cstheme="minorHAnsi"/>
          <w:sz w:val="22"/>
          <w:szCs w:val="22"/>
          <w:lang w:val="en-US" w:eastAsia="el-GR"/>
        </w:rPr>
        <w:t>non-judgmental</w:t>
      </w:r>
      <w:r w:rsidRPr="00E53495">
        <w:rPr>
          <w:rFonts w:asciiTheme="minorHAnsi" w:hAnsiTheme="minorHAnsi" w:cstheme="minorHAnsi"/>
          <w:sz w:val="22"/>
          <w:szCs w:val="22"/>
          <w:lang w:val="en-US" w:eastAsia="el-GR"/>
        </w:rPr>
        <w:t xml:space="preserve"> attitudes, encouragement, and psychological safety). This finding reinforces the theoretical position that, in initial teacher education, supervision constitutes the necessary </w:t>
      </w:r>
      <w:r w:rsidR="00723973" w:rsidRPr="00E53495">
        <w:rPr>
          <w:rFonts w:asciiTheme="minorHAnsi" w:hAnsiTheme="minorHAnsi" w:cstheme="minorHAnsi"/>
          <w:sz w:val="22"/>
          <w:szCs w:val="22"/>
          <w:lang w:val="en-US" w:eastAsia="el-GR"/>
        </w:rPr>
        <w:t>organizational</w:t>
      </w:r>
      <w:r w:rsidRPr="00E53495">
        <w:rPr>
          <w:rFonts w:asciiTheme="minorHAnsi" w:hAnsiTheme="minorHAnsi" w:cstheme="minorHAnsi"/>
          <w:sz w:val="22"/>
          <w:szCs w:val="22"/>
          <w:lang w:val="en-US" w:eastAsia="el-GR"/>
        </w:rPr>
        <w:t xml:space="preserve"> core, while mentoring functions complementarily by enriching the process with relational and emotional dimensions (</w:t>
      </w:r>
      <w:proofErr w:type="spellStart"/>
      <w:r w:rsidRPr="00E53495">
        <w:rPr>
          <w:rFonts w:asciiTheme="minorHAnsi" w:hAnsiTheme="minorHAnsi" w:cstheme="minorHAnsi"/>
          <w:sz w:val="22"/>
          <w:szCs w:val="22"/>
          <w:lang w:val="en-US" w:eastAsia="el-GR"/>
        </w:rPr>
        <w:t>Ambrosetti</w:t>
      </w:r>
      <w:proofErr w:type="spellEnd"/>
      <w:r w:rsidRPr="00E53495">
        <w:rPr>
          <w:rFonts w:asciiTheme="minorHAnsi" w:hAnsiTheme="minorHAnsi" w:cstheme="minorHAnsi"/>
          <w:sz w:val="22"/>
          <w:szCs w:val="22"/>
          <w:lang w:val="en-US" w:eastAsia="el-GR"/>
        </w:rPr>
        <w:t xml:space="preserve">, 2014; </w:t>
      </w:r>
      <w:proofErr w:type="spellStart"/>
      <w:r w:rsidRPr="00E53495">
        <w:rPr>
          <w:rFonts w:asciiTheme="minorHAnsi" w:hAnsiTheme="minorHAnsi" w:cstheme="minorHAnsi"/>
          <w:sz w:val="22"/>
          <w:szCs w:val="22"/>
          <w:lang w:val="en-US" w:eastAsia="el-GR"/>
        </w:rPr>
        <w:t>Byth</w:t>
      </w:r>
      <w:proofErr w:type="spellEnd"/>
      <w:r w:rsidRPr="00E53495">
        <w:rPr>
          <w:rFonts w:asciiTheme="minorHAnsi" w:hAnsiTheme="minorHAnsi" w:cstheme="minorHAnsi"/>
          <w:sz w:val="22"/>
          <w:szCs w:val="22"/>
          <w:lang w:val="en-US" w:eastAsia="el-GR"/>
        </w:rPr>
        <w:t xml:space="preserve">, 2024; </w:t>
      </w:r>
      <w:proofErr w:type="spellStart"/>
      <w:r w:rsidRPr="00E53495">
        <w:rPr>
          <w:rFonts w:asciiTheme="minorHAnsi" w:hAnsiTheme="minorHAnsi" w:cstheme="minorHAnsi"/>
          <w:sz w:val="22"/>
          <w:szCs w:val="22"/>
          <w:lang w:val="en-US" w:eastAsia="el-GR"/>
        </w:rPr>
        <w:t>Letloenyane</w:t>
      </w:r>
      <w:proofErr w:type="spellEnd"/>
      <w:r w:rsidRPr="00E53495">
        <w:rPr>
          <w:rFonts w:asciiTheme="minorHAnsi" w:hAnsiTheme="minorHAnsi" w:cstheme="minorHAnsi"/>
          <w:sz w:val="22"/>
          <w:szCs w:val="22"/>
          <w:lang w:val="en-US" w:eastAsia="el-GR"/>
        </w:rPr>
        <w:t xml:space="preserve"> et al., 2025).</w:t>
      </w:r>
    </w:p>
    <w:p w14:paraId="579EEF63" w14:textId="72AD1F35" w:rsidR="00ED60A7" w:rsidRPr="00E53495" w:rsidRDefault="00ED60A7" w:rsidP="00ED60A7">
      <w:pPr>
        <w:ind w:firstLine="284"/>
        <w:jc w:val="both"/>
        <w:rPr>
          <w:rFonts w:asciiTheme="minorHAnsi" w:hAnsiTheme="minorHAnsi" w:cstheme="minorHAnsi"/>
          <w:sz w:val="22"/>
          <w:szCs w:val="22"/>
          <w:lang w:val="en-US" w:eastAsia="el-GR"/>
        </w:rPr>
      </w:pPr>
      <w:r w:rsidRPr="00E53495">
        <w:rPr>
          <w:rFonts w:asciiTheme="minorHAnsi" w:hAnsiTheme="minorHAnsi" w:cstheme="minorHAnsi"/>
          <w:sz w:val="22"/>
          <w:szCs w:val="22"/>
          <w:lang w:val="en-US" w:eastAsia="el-GR"/>
        </w:rPr>
        <w:t xml:space="preserve">Overall, the study concludes that the predominance of supervision in initial teacher education is not merely an institutional choice, but a pedagogical necessity aligned with the developmental stage of pre-service teachers. At the same time, the findings suggest that the most effective supervision models are those that selectively integrate mentoring elements, forming an innovative hybrid approach </w:t>
      </w:r>
      <w:r w:rsidR="00723973" w:rsidRPr="00E53495">
        <w:rPr>
          <w:rFonts w:asciiTheme="minorHAnsi" w:hAnsiTheme="minorHAnsi" w:cstheme="minorHAnsi"/>
          <w:sz w:val="22"/>
          <w:szCs w:val="22"/>
          <w:lang w:val="en-US" w:eastAsia="el-GR"/>
        </w:rPr>
        <w:t>emphasizing</w:t>
      </w:r>
      <w:r w:rsidRPr="00E53495">
        <w:rPr>
          <w:rFonts w:asciiTheme="minorHAnsi" w:hAnsiTheme="minorHAnsi" w:cstheme="minorHAnsi"/>
          <w:sz w:val="22"/>
          <w:szCs w:val="22"/>
          <w:lang w:val="en-US" w:eastAsia="el-GR"/>
        </w:rPr>
        <w:t xml:space="preserve"> structured feedback, small-scale interaction, and supportive relationships. The contribution of the present study lies in foregrounding pre-service teachers’ voices as a key factor in the design and improvement of supervision, offering empirical evidence that can inform the enhancement of practicum practices and support pedagogical innovation in initial teacher education.</w:t>
      </w:r>
    </w:p>
    <w:p w14:paraId="07527C70" w14:textId="77777777" w:rsidR="00ED60A7" w:rsidRPr="009557D8" w:rsidRDefault="00ED60A7" w:rsidP="009557D8">
      <w:pPr>
        <w:spacing w:before="240"/>
        <w:ind w:firstLine="284"/>
        <w:outlineLvl w:val="0"/>
        <w:rPr>
          <w:rFonts w:ascii="Calibri" w:hAnsi="Calibri" w:cs="Calibri"/>
          <w:b/>
          <w:bCs/>
          <w:sz w:val="22"/>
          <w:szCs w:val="22"/>
          <w:lang w:val="en-US"/>
        </w:rPr>
      </w:pPr>
      <w:r w:rsidRPr="009557D8">
        <w:rPr>
          <w:rFonts w:ascii="Calibri" w:hAnsi="Calibri" w:cs="Calibri"/>
          <w:b/>
          <w:bCs/>
          <w:sz w:val="22"/>
          <w:szCs w:val="22"/>
          <w:lang w:val="en-US"/>
        </w:rPr>
        <w:t>Implications for Educational Innovation</w:t>
      </w:r>
    </w:p>
    <w:p w14:paraId="4F672364" w14:textId="05F4996A" w:rsidR="00ED60A7" w:rsidRPr="00E53495" w:rsidRDefault="00ED60A7" w:rsidP="00ED60A7">
      <w:pPr>
        <w:ind w:firstLine="284"/>
        <w:jc w:val="both"/>
        <w:rPr>
          <w:rFonts w:asciiTheme="minorHAnsi" w:hAnsiTheme="minorHAnsi" w:cstheme="minorHAnsi"/>
          <w:sz w:val="22"/>
          <w:szCs w:val="22"/>
          <w:lang w:val="en-US" w:eastAsia="el-GR"/>
        </w:rPr>
      </w:pPr>
      <w:r w:rsidRPr="00E53495">
        <w:rPr>
          <w:rFonts w:asciiTheme="minorHAnsi" w:hAnsiTheme="minorHAnsi" w:cstheme="minorHAnsi"/>
          <w:sz w:val="22"/>
          <w:szCs w:val="22"/>
          <w:lang w:val="en-US" w:eastAsia="el-GR"/>
        </w:rPr>
        <w:t xml:space="preserve">The findings of the present study highlight critical implications for the pedagogical and </w:t>
      </w:r>
      <w:r w:rsidR="00723973" w:rsidRPr="00E53495">
        <w:rPr>
          <w:rFonts w:asciiTheme="minorHAnsi" w:hAnsiTheme="minorHAnsi" w:cstheme="minorHAnsi"/>
          <w:sz w:val="22"/>
          <w:szCs w:val="22"/>
          <w:lang w:val="en-US" w:eastAsia="el-GR"/>
        </w:rPr>
        <w:t>organizational</w:t>
      </w:r>
      <w:r w:rsidRPr="00E53495">
        <w:rPr>
          <w:rFonts w:asciiTheme="minorHAnsi" w:hAnsiTheme="minorHAnsi" w:cstheme="minorHAnsi"/>
          <w:sz w:val="22"/>
          <w:szCs w:val="22"/>
          <w:lang w:val="en-US" w:eastAsia="el-GR"/>
        </w:rPr>
        <w:t xml:space="preserve"> redesign of the practicum in the initial preparation of early childhood educators. In this context, educational innovation is not understood as the introduction of fragmented technological interventions, but rather as the reconfiguration of the core of supervisory practice based on empirically grounded student needs.</w:t>
      </w:r>
    </w:p>
    <w:p w14:paraId="42C5A140" w14:textId="77777777" w:rsidR="00ED60A7" w:rsidRPr="00E53495" w:rsidRDefault="00ED60A7" w:rsidP="00ED60A7">
      <w:pPr>
        <w:ind w:firstLine="284"/>
        <w:jc w:val="both"/>
        <w:rPr>
          <w:rFonts w:asciiTheme="minorHAnsi" w:hAnsiTheme="minorHAnsi" w:cstheme="minorHAnsi"/>
          <w:sz w:val="22"/>
          <w:szCs w:val="22"/>
          <w:lang w:val="en-US" w:eastAsia="el-GR"/>
        </w:rPr>
      </w:pPr>
      <w:r w:rsidRPr="00E53495">
        <w:rPr>
          <w:rFonts w:asciiTheme="minorHAnsi" w:hAnsiTheme="minorHAnsi" w:cstheme="minorHAnsi"/>
          <w:sz w:val="22"/>
          <w:szCs w:val="22"/>
          <w:lang w:val="en-US" w:eastAsia="el-GR"/>
        </w:rPr>
        <w:t>First, the results support a shift from formal or predominantly evaluative supervision towards a structured, reflective supervision model in which feedback functions as a central mechanism for professional learning. Practices such as iterative feedback cycles, the use of reflective tools, and small-group workshop-based supervision emerge as innovative approaches, as they reposition the practicum from a site of instructional compliance to a context for learning and professional development.</w:t>
      </w:r>
    </w:p>
    <w:p w14:paraId="32C7D9A2" w14:textId="77777777" w:rsidR="00ED60A7" w:rsidRPr="00E53495" w:rsidRDefault="00ED60A7" w:rsidP="00ED60A7">
      <w:pPr>
        <w:ind w:firstLine="284"/>
        <w:jc w:val="both"/>
        <w:rPr>
          <w:rFonts w:asciiTheme="minorHAnsi" w:hAnsiTheme="minorHAnsi" w:cstheme="minorHAnsi"/>
          <w:sz w:val="22"/>
          <w:szCs w:val="22"/>
          <w:lang w:val="en-US" w:eastAsia="el-GR"/>
        </w:rPr>
      </w:pPr>
      <w:r w:rsidRPr="00E53495">
        <w:rPr>
          <w:rFonts w:asciiTheme="minorHAnsi" w:hAnsiTheme="minorHAnsi" w:cstheme="minorHAnsi"/>
          <w:sz w:val="22"/>
          <w:szCs w:val="22"/>
          <w:lang w:val="en-US" w:eastAsia="el-GR"/>
        </w:rPr>
        <w:t>Second, the findings call for a redefinition of the supervisory role, which is framed less as one of control and more as that of a pedagogical coordinator and facilitator of learning. The emphasis placed on teaching experience in early childhood education and on relevance to the field suggests a form of pedagogical innovation that transforms traditional guidance relationships and reshapes learning dynamics within the practicum.</w:t>
      </w:r>
    </w:p>
    <w:p w14:paraId="37F4FD56" w14:textId="40B9B68A" w:rsidR="00ED60A7" w:rsidRPr="00E53495" w:rsidRDefault="00ED60A7" w:rsidP="00ED60A7">
      <w:pPr>
        <w:ind w:firstLine="284"/>
        <w:jc w:val="both"/>
        <w:rPr>
          <w:rFonts w:asciiTheme="minorHAnsi" w:hAnsiTheme="minorHAnsi" w:cstheme="minorHAnsi"/>
          <w:sz w:val="22"/>
          <w:szCs w:val="22"/>
          <w:lang w:val="en-US" w:eastAsia="el-GR"/>
        </w:rPr>
      </w:pPr>
      <w:r w:rsidRPr="00E53495">
        <w:rPr>
          <w:rFonts w:asciiTheme="minorHAnsi" w:hAnsiTheme="minorHAnsi" w:cstheme="minorHAnsi"/>
          <w:sz w:val="22"/>
          <w:szCs w:val="22"/>
          <w:lang w:val="en-US" w:eastAsia="el-GR"/>
        </w:rPr>
        <w:t xml:space="preserve">Third, the strong preference for small-group, face-to-face workshop supervision indicates the need for </w:t>
      </w:r>
      <w:r w:rsidR="00723973" w:rsidRPr="00E53495">
        <w:rPr>
          <w:rFonts w:asciiTheme="minorHAnsi" w:hAnsiTheme="minorHAnsi" w:cstheme="minorHAnsi"/>
          <w:sz w:val="22"/>
          <w:szCs w:val="22"/>
          <w:lang w:val="en-US" w:eastAsia="el-GR"/>
        </w:rPr>
        <w:t>organizational</w:t>
      </w:r>
      <w:r w:rsidRPr="00E53495">
        <w:rPr>
          <w:rFonts w:asciiTheme="minorHAnsi" w:hAnsiTheme="minorHAnsi" w:cstheme="minorHAnsi"/>
          <w:sz w:val="22"/>
          <w:szCs w:val="22"/>
          <w:lang w:val="en-US" w:eastAsia="el-GR"/>
        </w:rPr>
        <w:t xml:space="preserve"> innovations that enhance </w:t>
      </w:r>
      <w:r w:rsidR="00723973" w:rsidRPr="00E53495">
        <w:rPr>
          <w:rFonts w:asciiTheme="minorHAnsi" w:hAnsiTheme="minorHAnsi" w:cstheme="minorHAnsi"/>
          <w:sz w:val="22"/>
          <w:szCs w:val="22"/>
          <w:lang w:val="en-US" w:eastAsia="el-GR"/>
        </w:rPr>
        <w:t>individualized</w:t>
      </w:r>
      <w:r w:rsidRPr="00E53495">
        <w:rPr>
          <w:rFonts w:asciiTheme="minorHAnsi" w:hAnsiTheme="minorHAnsi" w:cstheme="minorHAnsi"/>
          <w:sz w:val="22"/>
          <w:szCs w:val="22"/>
          <w:lang w:val="en-US" w:eastAsia="el-GR"/>
        </w:rPr>
        <w:t xml:space="preserve"> feedback, reflective engagement, and students’ psychological safety. Small-scale supervision emerges as a critical condition of quality, particularly in contexts where support is often provided through large-scale or fragmented arrangements.</w:t>
      </w:r>
    </w:p>
    <w:p w14:paraId="4CA78BC8" w14:textId="21D33DEE" w:rsidR="00ED60A7" w:rsidRPr="00E53495" w:rsidRDefault="00ED60A7" w:rsidP="00ED60A7">
      <w:pPr>
        <w:ind w:firstLine="284"/>
        <w:jc w:val="both"/>
        <w:rPr>
          <w:rFonts w:asciiTheme="minorHAnsi" w:hAnsiTheme="minorHAnsi" w:cstheme="minorHAnsi"/>
          <w:sz w:val="22"/>
          <w:szCs w:val="22"/>
          <w:lang w:val="en-US" w:eastAsia="el-GR"/>
        </w:rPr>
      </w:pPr>
      <w:r w:rsidRPr="00E53495">
        <w:rPr>
          <w:rFonts w:asciiTheme="minorHAnsi" w:hAnsiTheme="minorHAnsi" w:cstheme="minorHAnsi"/>
          <w:sz w:val="22"/>
          <w:szCs w:val="22"/>
          <w:lang w:val="en-US" w:eastAsia="el-GR"/>
        </w:rPr>
        <w:t xml:space="preserve">Finally, the study provides empirical support for the value of a hybrid supervision model, in which supervision maintains structure, consistency, and accountability, while mentoring is functionally integrated to contribute </w:t>
      </w:r>
      <w:r w:rsidR="00723973" w:rsidRPr="00E53495">
        <w:rPr>
          <w:rFonts w:asciiTheme="minorHAnsi" w:hAnsiTheme="minorHAnsi" w:cstheme="minorHAnsi"/>
          <w:sz w:val="22"/>
          <w:szCs w:val="22"/>
          <w:lang w:val="en-US" w:eastAsia="el-GR"/>
        </w:rPr>
        <w:t>non-judgmental</w:t>
      </w:r>
      <w:r w:rsidRPr="00E53495">
        <w:rPr>
          <w:rFonts w:asciiTheme="minorHAnsi" w:hAnsiTheme="minorHAnsi" w:cstheme="minorHAnsi"/>
          <w:sz w:val="22"/>
          <w:szCs w:val="22"/>
          <w:lang w:val="en-US" w:eastAsia="el-GR"/>
        </w:rPr>
        <w:t xml:space="preserve"> attitudes, encouragement, and emotional support. This approach represents a realistic and pedagogically grounded innovation in initial teacher education, as it responds both to pre-service teachers’ learning needs and to the </w:t>
      </w:r>
      <w:r w:rsidR="00723973" w:rsidRPr="00E53495">
        <w:rPr>
          <w:rFonts w:asciiTheme="minorHAnsi" w:hAnsiTheme="minorHAnsi" w:cstheme="minorHAnsi"/>
          <w:sz w:val="22"/>
          <w:szCs w:val="22"/>
          <w:lang w:val="en-US" w:eastAsia="el-GR"/>
        </w:rPr>
        <w:t>organizational</w:t>
      </w:r>
      <w:r w:rsidRPr="00E53495">
        <w:rPr>
          <w:rFonts w:asciiTheme="minorHAnsi" w:hAnsiTheme="minorHAnsi" w:cstheme="minorHAnsi"/>
          <w:sz w:val="22"/>
          <w:szCs w:val="22"/>
          <w:lang w:val="en-US" w:eastAsia="el-GR"/>
        </w:rPr>
        <w:t xml:space="preserve"> constraints of practicum </w:t>
      </w:r>
      <w:r w:rsidR="00723973" w:rsidRPr="00E53495">
        <w:rPr>
          <w:rFonts w:asciiTheme="minorHAnsi" w:hAnsiTheme="minorHAnsi" w:cstheme="minorHAnsi"/>
          <w:sz w:val="22"/>
          <w:szCs w:val="22"/>
          <w:lang w:val="en-US" w:eastAsia="el-GR"/>
        </w:rPr>
        <w:t>programs</w:t>
      </w:r>
      <w:r w:rsidRPr="00E53495">
        <w:rPr>
          <w:rFonts w:asciiTheme="minorHAnsi" w:hAnsiTheme="minorHAnsi" w:cstheme="minorHAnsi"/>
          <w:sz w:val="22"/>
          <w:szCs w:val="22"/>
          <w:lang w:val="en-US" w:eastAsia="el-GR"/>
        </w:rPr>
        <w:t>.</w:t>
      </w:r>
    </w:p>
    <w:p w14:paraId="52AA52B1" w14:textId="70F5AEFF" w:rsidR="00ED60A7" w:rsidRPr="00E53495" w:rsidRDefault="00ED60A7" w:rsidP="00ED60A7">
      <w:pPr>
        <w:ind w:firstLine="284"/>
        <w:jc w:val="both"/>
        <w:rPr>
          <w:rFonts w:asciiTheme="minorHAnsi" w:hAnsiTheme="minorHAnsi" w:cstheme="minorHAnsi"/>
          <w:sz w:val="22"/>
          <w:szCs w:val="22"/>
          <w:lang w:val="en-US" w:eastAsia="el-GR"/>
        </w:rPr>
      </w:pPr>
      <w:r w:rsidRPr="00E53495">
        <w:rPr>
          <w:rFonts w:asciiTheme="minorHAnsi" w:hAnsiTheme="minorHAnsi" w:cstheme="minorHAnsi"/>
          <w:sz w:val="22"/>
          <w:szCs w:val="22"/>
          <w:lang w:val="en-US" w:eastAsia="el-GR"/>
        </w:rPr>
        <w:t>Overall, foregrounding pre-service teachers’ voices in the design and evaluation of supervision constitutes, in itself, an important dimension of educational innovation. By strengthening participation and shared responsibility, such an approach can contribute to improving program</w:t>
      </w:r>
      <w:bookmarkStart w:id="1" w:name="_GoBack"/>
      <w:bookmarkEnd w:id="1"/>
      <w:r w:rsidRPr="00E53495">
        <w:rPr>
          <w:rFonts w:asciiTheme="minorHAnsi" w:hAnsiTheme="minorHAnsi" w:cstheme="minorHAnsi"/>
          <w:sz w:val="22"/>
          <w:szCs w:val="22"/>
          <w:lang w:val="en-US" w:eastAsia="el-GR"/>
        </w:rPr>
        <w:t xml:space="preserve"> quality and to the development of more flexible and effective models of initial teacher education.</w:t>
      </w:r>
    </w:p>
    <w:p w14:paraId="6B3344BD" w14:textId="77777777" w:rsidR="00ED60A7" w:rsidRPr="00ED60A7" w:rsidRDefault="00ED60A7" w:rsidP="009557D8">
      <w:pPr>
        <w:spacing w:before="240"/>
        <w:ind w:firstLine="284"/>
        <w:outlineLvl w:val="0"/>
        <w:rPr>
          <w:rFonts w:ascii="Calibri" w:hAnsi="Calibri" w:cs="Calibri"/>
          <w:b/>
          <w:bCs/>
          <w:sz w:val="22"/>
          <w:szCs w:val="22"/>
          <w:lang w:val="en-US"/>
        </w:rPr>
      </w:pPr>
      <w:r w:rsidRPr="00ED60A7">
        <w:rPr>
          <w:rFonts w:ascii="Calibri" w:hAnsi="Calibri" w:cs="Calibri"/>
          <w:b/>
          <w:bCs/>
          <w:sz w:val="22"/>
          <w:szCs w:val="22"/>
          <w:lang w:val="en-US"/>
        </w:rPr>
        <w:t>Limitations and Future Research</w:t>
      </w:r>
    </w:p>
    <w:p w14:paraId="28E0EAD7" w14:textId="340F01D6" w:rsidR="00ED60A7" w:rsidRPr="00E53495" w:rsidRDefault="00ED60A7" w:rsidP="00ED60A7">
      <w:pPr>
        <w:ind w:firstLine="284"/>
        <w:jc w:val="both"/>
        <w:rPr>
          <w:rFonts w:asciiTheme="minorHAnsi" w:hAnsiTheme="minorHAnsi" w:cstheme="minorHAnsi"/>
          <w:sz w:val="22"/>
          <w:szCs w:val="22"/>
          <w:lang w:val="en-US" w:eastAsia="el-GR"/>
        </w:rPr>
      </w:pPr>
      <w:r w:rsidRPr="00E53495">
        <w:rPr>
          <w:rFonts w:asciiTheme="minorHAnsi" w:hAnsiTheme="minorHAnsi" w:cstheme="minorHAnsi"/>
          <w:sz w:val="22"/>
          <w:szCs w:val="22"/>
          <w:lang w:val="en-US" w:eastAsia="el-GR"/>
        </w:rPr>
        <w:lastRenderedPageBreak/>
        <w:t xml:space="preserve">Despite the contribution of the present study to understanding supervision in the teaching practicum from the perspective of pre-service early childhood educators, several limitations should be acknowledged. First, the data were collected through self-reported questionnaires, which may be subject to social desirability bias and reflect participants’ subjective perceptions rather than observed practices. Second, the sample consisted exclusively of students from early childhood education departments, limiting the </w:t>
      </w:r>
      <w:r w:rsidR="00723973" w:rsidRPr="00E53495">
        <w:rPr>
          <w:rFonts w:asciiTheme="minorHAnsi" w:hAnsiTheme="minorHAnsi" w:cstheme="minorHAnsi"/>
          <w:sz w:val="22"/>
          <w:szCs w:val="22"/>
          <w:lang w:val="en-US" w:eastAsia="el-GR"/>
        </w:rPr>
        <w:t>generalizability</w:t>
      </w:r>
      <w:r w:rsidRPr="00E53495">
        <w:rPr>
          <w:rFonts w:asciiTheme="minorHAnsi" w:hAnsiTheme="minorHAnsi" w:cstheme="minorHAnsi"/>
          <w:sz w:val="22"/>
          <w:szCs w:val="22"/>
          <w:lang w:val="en-US" w:eastAsia="el-GR"/>
        </w:rPr>
        <w:t xml:space="preserve"> of the findings to other teacher education contexts or subject areas. In addition, the cross-sectional design captured perceptions at a single point in time and did not allow for examination of how students’ views on supervision may evolve across different stages of their studies or practicum experiences.</w:t>
      </w:r>
    </w:p>
    <w:p w14:paraId="579E0E66" w14:textId="77777777" w:rsidR="00ED60A7" w:rsidRPr="00E53495" w:rsidRDefault="00ED60A7" w:rsidP="00ED60A7">
      <w:pPr>
        <w:ind w:firstLine="284"/>
        <w:jc w:val="both"/>
        <w:rPr>
          <w:rFonts w:asciiTheme="minorHAnsi" w:hAnsiTheme="minorHAnsi" w:cstheme="minorHAnsi"/>
          <w:sz w:val="22"/>
          <w:szCs w:val="22"/>
          <w:lang w:val="en-US" w:eastAsia="el-GR"/>
        </w:rPr>
      </w:pPr>
      <w:r w:rsidRPr="00E53495">
        <w:rPr>
          <w:rFonts w:asciiTheme="minorHAnsi" w:hAnsiTheme="minorHAnsi" w:cstheme="minorHAnsi"/>
          <w:sz w:val="22"/>
          <w:szCs w:val="22"/>
          <w:lang w:val="en-US" w:eastAsia="el-GR"/>
        </w:rPr>
        <w:t>Future research could address these limitations by employing longitudinal and mixed-methods designs that follow pre-service teachers across multiple practicum placements, enabling a deeper exploration of changes in perceptions, needs, and professional learning over time. Further studies could also incorporate the perspectives of supervisors, mentor teachers, and university staff in order to triangulate findings and provide a more comprehensive understanding of supervisory practices. Finally, experimental or design-based research approaches could examine the implementation and impact of structured or hybrid supervision models—combining elements of supervision and mentoring—on student teachers’ professional development, thereby contributing empirical evidence to support innovative and sustainable practices in initial teacher education.</w:t>
      </w:r>
    </w:p>
    <w:p w14:paraId="72BC88E3" w14:textId="77777777" w:rsidR="00EE1EC6" w:rsidRPr="00EE1EC6" w:rsidRDefault="00EE1EC6" w:rsidP="00723973">
      <w:pPr>
        <w:spacing w:before="240"/>
        <w:ind w:firstLine="284"/>
        <w:outlineLvl w:val="0"/>
        <w:rPr>
          <w:rFonts w:ascii="Calibri" w:hAnsi="Calibri" w:cs="Calibri"/>
          <w:b/>
          <w:bCs/>
          <w:sz w:val="22"/>
          <w:szCs w:val="22"/>
          <w:lang w:val="en-US"/>
        </w:rPr>
      </w:pPr>
      <w:r w:rsidRPr="00EE1EC6">
        <w:rPr>
          <w:rFonts w:ascii="Calibri" w:hAnsi="Calibri" w:cs="Calibri"/>
          <w:b/>
          <w:bCs/>
          <w:sz w:val="22"/>
          <w:szCs w:val="22"/>
          <w:lang w:val="en-US"/>
        </w:rPr>
        <w:t>References</w:t>
      </w:r>
    </w:p>
    <w:p w14:paraId="30539B22" w14:textId="77777777" w:rsidR="00EE1EC6" w:rsidRPr="00284256" w:rsidRDefault="00EE1EC6" w:rsidP="00EE1EC6">
      <w:pPr>
        <w:ind w:firstLine="284"/>
        <w:jc w:val="both"/>
        <w:rPr>
          <w:rFonts w:asciiTheme="minorHAnsi" w:hAnsiTheme="minorHAnsi" w:cstheme="minorHAnsi"/>
          <w:sz w:val="22"/>
          <w:szCs w:val="22"/>
          <w:lang w:val="en-US" w:eastAsia="el-GR"/>
        </w:rPr>
      </w:pPr>
      <w:r w:rsidRPr="00284256">
        <w:rPr>
          <w:rFonts w:asciiTheme="minorHAnsi" w:hAnsiTheme="minorHAnsi" w:cstheme="minorHAnsi"/>
          <w:sz w:val="22"/>
          <w:szCs w:val="22"/>
          <w:lang w:val="en-US" w:eastAsia="el-GR"/>
        </w:rPr>
        <w:t xml:space="preserve">Agnew, A., Kearney, M., Ó </w:t>
      </w:r>
      <w:proofErr w:type="spellStart"/>
      <w:r w:rsidRPr="00284256">
        <w:rPr>
          <w:rFonts w:asciiTheme="minorHAnsi" w:hAnsiTheme="minorHAnsi" w:cstheme="minorHAnsi"/>
          <w:sz w:val="22"/>
          <w:szCs w:val="22"/>
          <w:lang w:val="en-US" w:eastAsia="el-GR"/>
        </w:rPr>
        <w:t>Grádaigh</w:t>
      </w:r>
      <w:proofErr w:type="spellEnd"/>
      <w:r w:rsidRPr="00284256">
        <w:rPr>
          <w:rFonts w:asciiTheme="minorHAnsi" w:hAnsiTheme="minorHAnsi" w:cstheme="minorHAnsi"/>
          <w:sz w:val="22"/>
          <w:szCs w:val="22"/>
          <w:lang w:val="en-US" w:eastAsia="el-GR"/>
        </w:rPr>
        <w:t xml:space="preserve">, S., Mac Mahon, B., &amp; Connolly, C. (2024). Exploring a synchronous hybrid observation approach for supporting student teachers during school placements. </w:t>
      </w:r>
      <w:r w:rsidRPr="00284256">
        <w:rPr>
          <w:rFonts w:asciiTheme="minorHAnsi" w:hAnsiTheme="minorHAnsi" w:cstheme="minorHAnsi"/>
          <w:i/>
          <w:iCs/>
          <w:sz w:val="22"/>
          <w:szCs w:val="22"/>
          <w:lang w:val="en-US" w:eastAsia="el-GR"/>
        </w:rPr>
        <w:t>Education Sciences, 14</w:t>
      </w:r>
      <w:r w:rsidRPr="00284256">
        <w:rPr>
          <w:rFonts w:asciiTheme="minorHAnsi" w:hAnsiTheme="minorHAnsi" w:cstheme="minorHAnsi"/>
          <w:sz w:val="22"/>
          <w:szCs w:val="22"/>
          <w:lang w:val="en-US" w:eastAsia="el-GR"/>
        </w:rPr>
        <w:t>(9), 991. https://doi.org/10.3390/educsci14090991</w:t>
      </w:r>
    </w:p>
    <w:p w14:paraId="12733847" w14:textId="28862CD0" w:rsidR="00EE1EC6" w:rsidRPr="00284256" w:rsidRDefault="00EE1EC6" w:rsidP="00EE1EC6">
      <w:pPr>
        <w:ind w:firstLine="284"/>
        <w:jc w:val="both"/>
        <w:rPr>
          <w:rFonts w:asciiTheme="minorHAnsi" w:hAnsiTheme="minorHAnsi" w:cstheme="minorHAnsi"/>
          <w:sz w:val="22"/>
          <w:szCs w:val="22"/>
          <w:lang w:val="en-US" w:eastAsia="el-GR"/>
        </w:rPr>
      </w:pPr>
      <w:proofErr w:type="spellStart"/>
      <w:r w:rsidRPr="00284256">
        <w:rPr>
          <w:rFonts w:asciiTheme="minorHAnsi" w:hAnsiTheme="minorHAnsi" w:cstheme="minorHAnsi"/>
          <w:sz w:val="22"/>
          <w:szCs w:val="22"/>
          <w:lang w:val="en-US" w:eastAsia="el-GR"/>
        </w:rPr>
        <w:t>Ambrosetti</w:t>
      </w:r>
      <w:proofErr w:type="spellEnd"/>
      <w:r w:rsidRPr="00284256">
        <w:rPr>
          <w:rFonts w:asciiTheme="minorHAnsi" w:hAnsiTheme="minorHAnsi" w:cstheme="minorHAnsi"/>
          <w:sz w:val="22"/>
          <w:szCs w:val="22"/>
          <w:lang w:val="en-US" w:eastAsia="el-GR"/>
        </w:rPr>
        <w:t xml:space="preserve">, A. (2014). Are you ready to be a mentor? Preparing teachers for mentoring pre-service teachers. </w:t>
      </w:r>
      <w:r w:rsidRPr="00284256">
        <w:rPr>
          <w:rFonts w:asciiTheme="minorHAnsi" w:eastAsiaTheme="majorEastAsia" w:hAnsiTheme="minorHAnsi" w:cstheme="minorHAnsi"/>
          <w:i/>
          <w:iCs/>
          <w:sz w:val="22"/>
          <w:szCs w:val="22"/>
          <w:lang w:val="en-US" w:eastAsia="el-GR"/>
        </w:rPr>
        <w:t>Australian Journal of Teacher Education, 39</w:t>
      </w:r>
      <w:r w:rsidRPr="00284256">
        <w:rPr>
          <w:rFonts w:asciiTheme="minorHAnsi" w:hAnsiTheme="minorHAnsi" w:cstheme="minorHAnsi"/>
          <w:sz w:val="22"/>
          <w:szCs w:val="22"/>
          <w:lang w:val="en-US" w:eastAsia="el-GR"/>
        </w:rPr>
        <w:t>(6), 30–42.</w:t>
      </w:r>
      <w:r w:rsidR="00F142E6" w:rsidRPr="00284256">
        <w:rPr>
          <w:rFonts w:asciiTheme="minorHAnsi" w:hAnsiTheme="minorHAnsi" w:cstheme="minorHAnsi"/>
          <w:sz w:val="22"/>
          <w:szCs w:val="22"/>
          <w:lang w:val="en-US" w:eastAsia="el-GR"/>
        </w:rPr>
        <w:t xml:space="preserve"> </w:t>
      </w:r>
      <w:r w:rsidRPr="00284256">
        <w:rPr>
          <w:rFonts w:asciiTheme="minorHAnsi" w:hAnsiTheme="minorHAnsi" w:cstheme="minorHAnsi"/>
          <w:sz w:val="22"/>
          <w:szCs w:val="22"/>
          <w:lang w:val="en-US" w:eastAsia="el-GR"/>
        </w:rPr>
        <w:t xml:space="preserve">https://doi.org/10.14221/ajte.2014v39n6.2 </w:t>
      </w:r>
    </w:p>
    <w:p w14:paraId="6942B5DC" w14:textId="77777777" w:rsidR="00EE1EC6" w:rsidRPr="00284256" w:rsidRDefault="00EE1EC6" w:rsidP="00EE1EC6">
      <w:pPr>
        <w:ind w:firstLine="284"/>
        <w:jc w:val="both"/>
        <w:rPr>
          <w:rFonts w:asciiTheme="minorHAnsi" w:hAnsiTheme="minorHAnsi" w:cstheme="minorHAnsi"/>
          <w:sz w:val="22"/>
          <w:szCs w:val="22"/>
          <w:lang w:val="en-US"/>
        </w:rPr>
      </w:pPr>
      <w:proofErr w:type="spellStart"/>
      <w:r w:rsidRPr="00284256">
        <w:rPr>
          <w:rFonts w:asciiTheme="minorHAnsi" w:hAnsiTheme="minorHAnsi" w:cstheme="minorHAnsi"/>
          <w:sz w:val="22"/>
          <w:szCs w:val="22"/>
          <w:lang w:val="en-US"/>
        </w:rPr>
        <w:t>Androusou</w:t>
      </w:r>
      <w:proofErr w:type="spellEnd"/>
      <w:r w:rsidRPr="00284256">
        <w:rPr>
          <w:rFonts w:asciiTheme="minorHAnsi" w:hAnsiTheme="minorHAnsi" w:cstheme="minorHAnsi"/>
          <w:sz w:val="22"/>
          <w:szCs w:val="22"/>
          <w:lang w:val="en-US"/>
        </w:rPr>
        <w:t xml:space="preserve">, A., &amp; </w:t>
      </w:r>
      <w:proofErr w:type="spellStart"/>
      <w:r w:rsidRPr="00284256">
        <w:rPr>
          <w:rFonts w:asciiTheme="minorHAnsi" w:hAnsiTheme="minorHAnsi" w:cstheme="minorHAnsi"/>
          <w:sz w:val="22"/>
          <w:szCs w:val="22"/>
          <w:lang w:val="en-US"/>
        </w:rPr>
        <w:t>Tsafos</w:t>
      </w:r>
      <w:proofErr w:type="spellEnd"/>
      <w:r w:rsidRPr="00284256">
        <w:rPr>
          <w:rFonts w:asciiTheme="minorHAnsi" w:hAnsiTheme="minorHAnsi" w:cstheme="minorHAnsi"/>
          <w:sz w:val="22"/>
          <w:szCs w:val="22"/>
          <w:lang w:val="en-US"/>
        </w:rPr>
        <w:t xml:space="preserve">, V. (2013). </w:t>
      </w:r>
      <w:r w:rsidRPr="00284256">
        <w:rPr>
          <w:rStyle w:val="Emphasis"/>
          <w:rFonts w:asciiTheme="minorHAnsi" w:hAnsiTheme="minorHAnsi" w:cstheme="minorHAnsi"/>
          <w:i w:val="0"/>
          <w:sz w:val="22"/>
          <w:szCs w:val="22"/>
          <w:lang w:val="en-US"/>
        </w:rPr>
        <w:t>Educating teachers as mentors of future teachers within an inquiry-based reflective framework</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Εκπαιδεύοντας</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εκπαιδευτικούς</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ως</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μέντορες</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μελλοντικών</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εκπαιδευτικών</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σε</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ένα</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διερευνητικό</w:t>
      </w:r>
      <w:r w:rsidRPr="00284256">
        <w:rPr>
          <w:rFonts w:asciiTheme="minorHAnsi" w:hAnsiTheme="minorHAnsi" w:cstheme="minorHAnsi"/>
          <w:sz w:val="22"/>
          <w:szCs w:val="22"/>
          <w:lang w:val="en-US"/>
        </w:rPr>
        <w:t xml:space="preserve"> </w:t>
      </w:r>
      <w:proofErr w:type="spellStart"/>
      <w:r w:rsidRPr="00284256">
        <w:rPr>
          <w:rFonts w:asciiTheme="minorHAnsi" w:hAnsiTheme="minorHAnsi" w:cstheme="minorHAnsi"/>
          <w:sz w:val="22"/>
          <w:szCs w:val="22"/>
        </w:rPr>
        <w:t>αναστοχαστικό</w:t>
      </w:r>
      <w:proofErr w:type="spellEnd"/>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πλαίσιο</w:t>
      </w:r>
      <w:r w:rsidRPr="00284256">
        <w:rPr>
          <w:rFonts w:asciiTheme="minorHAnsi" w:hAnsiTheme="minorHAnsi" w:cstheme="minorHAnsi"/>
          <w:sz w:val="22"/>
          <w:szCs w:val="22"/>
          <w:lang w:val="en-US"/>
        </w:rPr>
        <w:t xml:space="preserve">]. In A. </w:t>
      </w:r>
      <w:proofErr w:type="spellStart"/>
      <w:r w:rsidRPr="00284256">
        <w:rPr>
          <w:rFonts w:asciiTheme="minorHAnsi" w:hAnsiTheme="minorHAnsi" w:cstheme="minorHAnsi"/>
          <w:sz w:val="22"/>
          <w:szCs w:val="22"/>
          <w:lang w:val="en-US"/>
        </w:rPr>
        <w:t>Androusou</w:t>
      </w:r>
      <w:proofErr w:type="spellEnd"/>
      <w:r w:rsidRPr="00284256">
        <w:rPr>
          <w:rFonts w:asciiTheme="minorHAnsi" w:hAnsiTheme="minorHAnsi" w:cstheme="minorHAnsi"/>
          <w:sz w:val="22"/>
          <w:szCs w:val="22"/>
          <w:lang w:val="en-US"/>
        </w:rPr>
        <w:t xml:space="preserve"> &amp; S. </w:t>
      </w:r>
      <w:proofErr w:type="spellStart"/>
      <w:r w:rsidRPr="00284256">
        <w:rPr>
          <w:rFonts w:asciiTheme="minorHAnsi" w:hAnsiTheme="minorHAnsi" w:cstheme="minorHAnsi"/>
          <w:sz w:val="22"/>
          <w:szCs w:val="22"/>
          <w:lang w:val="en-US"/>
        </w:rPr>
        <w:t>Avgitidou</w:t>
      </w:r>
      <w:proofErr w:type="spellEnd"/>
      <w:r w:rsidRPr="00284256">
        <w:rPr>
          <w:rFonts w:asciiTheme="minorHAnsi" w:hAnsiTheme="minorHAnsi" w:cstheme="minorHAnsi"/>
          <w:sz w:val="22"/>
          <w:szCs w:val="22"/>
          <w:lang w:val="en-US"/>
        </w:rPr>
        <w:t xml:space="preserve"> (Eds.), </w:t>
      </w:r>
      <w:r w:rsidRPr="00284256">
        <w:rPr>
          <w:rStyle w:val="Emphasis"/>
          <w:rFonts w:asciiTheme="minorHAnsi" w:hAnsiTheme="minorHAnsi" w:cstheme="minorHAnsi"/>
          <w:sz w:val="22"/>
          <w:szCs w:val="22"/>
          <w:lang w:val="en-US"/>
        </w:rPr>
        <w:t>The teaching practicum in initial teacher education: Research approaches</w:t>
      </w:r>
      <w:r w:rsidRPr="00284256">
        <w:rPr>
          <w:rFonts w:asciiTheme="minorHAnsi" w:hAnsiTheme="minorHAnsi" w:cstheme="minorHAnsi"/>
          <w:sz w:val="22"/>
          <w:szCs w:val="22"/>
          <w:lang w:val="en-US"/>
        </w:rPr>
        <w:t xml:space="preserve"> (pp. 361–396). Network of Teaching Practicum, National and </w:t>
      </w:r>
      <w:proofErr w:type="spellStart"/>
      <w:r w:rsidRPr="00284256">
        <w:rPr>
          <w:rFonts w:asciiTheme="minorHAnsi" w:hAnsiTheme="minorHAnsi" w:cstheme="minorHAnsi"/>
          <w:sz w:val="22"/>
          <w:szCs w:val="22"/>
          <w:lang w:val="en-US"/>
        </w:rPr>
        <w:t>Kapodistrian</w:t>
      </w:r>
      <w:proofErr w:type="spellEnd"/>
      <w:r w:rsidRPr="00284256">
        <w:rPr>
          <w:rFonts w:asciiTheme="minorHAnsi" w:hAnsiTheme="minorHAnsi" w:cstheme="minorHAnsi"/>
          <w:sz w:val="22"/>
          <w:szCs w:val="22"/>
          <w:lang w:val="en-US"/>
        </w:rPr>
        <w:t xml:space="preserve"> University of Athens. [In Greek]</w:t>
      </w:r>
    </w:p>
    <w:p w14:paraId="3F47B05C" w14:textId="77777777" w:rsidR="00EE1EC6" w:rsidRPr="00284256" w:rsidRDefault="00EE1EC6" w:rsidP="00EE1EC6">
      <w:pPr>
        <w:ind w:firstLine="284"/>
        <w:jc w:val="both"/>
        <w:rPr>
          <w:rFonts w:asciiTheme="minorHAnsi" w:hAnsiTheme="minorHAnsi" w:cstheme="minorHAnsi"/>
          <w:sz w:val="22"/>
          <w:szCs w:val="22"/>
          <w:lang w:val="en-US" w:eastAsia="el-GR"/>
        </w:rPr>
      </w:pPr>
      <w:proofErr w:type="spellStart"/>
      <w:r w:rsidRPr="00284256">
        <w:rPr>
          <w:rFonts w:asciiTheme="minorHAnsi" w:hAnsiTheme="minorHAnsi" w:cstheme="minorHAnsi"/>
          <w:sz w:val="22"/>
          <w:szCs w:val="22"/>
          <w:lang w:val="en-GB" w:eastAsia="el-GR"/>
        </w:rPr>
        <w:t>Asregid</w:t>
      </w:r>
      <w:proofErr w:type="spellEnd"/>
      <w:r w:rsidRPr="00284256">
        <w:rPr>
          <w:rFonts w:asciiTheme="minorHAnsi" w:hAnsiTheme="minorHAnsi" w:cstheme="minorHAnsi"/>
          <w:sz w:val="22"/>
          <w:szCs w:val="22"/>
          <w:lang w:val="en-GB" w:eastAsia="el-GR"/>
        </w:rPr>
        <w:t xml:space="preserve">, D. (2025). Practicum supervisors’ structured feedback and pre-service teachers’ engagement in reflective practice. </w:t>
      </w:r>
      <w:r w:rsidRPr="00284256">
        <w:rPr>
          <w:rFonts w:asciiTheme="minorHAnsi" w:hAnsiTheme="minorHAnsi" w:cstheme="minorHAnsi"/>
          <w:i/>
          <w:iCs/>
          <w:sz w:val="22"/>
          <w:szCs w:val="22"/>
          <w:lang w:val="en-GB" w:eastAsia="el-GR"/>
        </w:rPr>
        <w:t>Reflective Practice</w:t>
      </w:r>
      <w:r w:rsidRPr="00284256">
        <w:rPr>
          <w:rFonts w:asciiTheme="minorHAnsi" w:hAnsiTheme="minorHAnsi" w:cstheme="minorHAnsi"/>
          <w:sz w:val="22"/>
          <w:szCs w:val="22"/>
          <w:lang w:val="en-GB" w:eastAsia="el-GR"/>
        </w:rPr>
        <w:t>, 1–11. https://doi.org/10.1080/14623943.2025.2607126</w:t>
      </w:r>
      <w:r w:rsidRPr="00284256">
        <w:rPr>
          <w:rFonts w:asciiTheme="minorHAnsi" w:hAnsiTheme="minorHAnsi" w:cstheme="minorHAnsi"/>
          <w:sz w:val="22"/>
          <w:szCs w:val="22"/>
          <w:lang w:val="en-US" w:eastAsia="el-GR"/>
        </w:rPr>
        <w:t xml:space="preserve"> </w:t>
      </w:r>
    </w:p>
    <w:p w14:paraId="3C45816E" w14:textId="77777777" w:rsidR="00EE1EC6" w:rsidRPr="00284256" w:rsidRDefault="00EE1EC6" w:rsidP="00EE1EC6">
      <w:pPr>
        <w:ind w:firstLine="284"/>
        <w:jc w:val="both"/>
        <w:rPr>
          <w:rFonts w:asciiTheme="minorHAnsi" w:hAnsiTheme="minorHAnsi" w:cstheme="minorHAnsi"/>
          <w:sz w:val="22"/>
          <w:szCs w:val="22"/>
          <w:lang w:val="en-US"/>
        </w:rPr>
      </w:pPr>
      <w:proofErr w:type="spellStart"/>
      <w:r w:rsidRPr="00284256">
        <w:rPr>
          <w:rFonts w:asciiTheme="minorHAnsi" w:hAnsiTheme="minorHAnsi" w:cstheme="minorHAnsi"/>
          <w:sz w:val="22"/>
          <w:szCs w:val="22"/>
          <w:lang w:val="en-GB"/>
        </w:rPr>
        <w:t>Avgitidou</w:t>
      </w:r>
      <w:proofErr w:type="spellEnd"/>
      <w:r w:rsidRPr="00284256">
        <w:rPr>
          <w:rFonts w:asciiTheme="minorHAnsi" w:hAnsiTheme="minorHAnsi" w:cstheme="minorHAnsi"/>
          <w:sz w:val="22"/>
          <w:szCs w:val="22"/>
          <w:lang w:val="en-GB"/>
        </w:rPr>
        <w:t xml:space="preserve">, S. (2014). </w:t>
      </w:r>
      <w:r w:rsidRPr="00284256">
        <w:rPr>
          <w:rStyle w:val="Emphasis"/>
          <w:rFonts w:asciiTheme="minorHAnsi" w:hAnsiTheme="minorHAnsi" w:cstheme="minorHAnsi"/>
          <w:i w:val="0"/>
          <w:sz w:val="22"/>
          <w:szCs w:val="22"/>
          <w:lang w:val="en-GB"/>
        </w:rPr>
        <w:t>Educating future teachers: Factors shaping pre-service teachers’ learning experiences during the practicum</w:t>
      </w:r>
      <w:r w:rsidRPr="00284256">
        <w:rPr>
          <w:rFonts w:asciiTheme="minorHAnsi" w:hAnsiTheme="minorHAnsi" w:cstheme="minorHAnsi"/>
          <w:sz w:val="22"/>
          <w:szCs w:val="22"/>
          <w:lang w:val="en-GB"/>
        </w:rPr>
        <w:t xml:space="preserve"> [</w:t>
      </w:r>
      <w:r w:rsidRPr="00284256">
        <w:rPr>
          <w:rFonts w:asciiTheme="minorHAnsi" w:hAnsiTheme="minorHAnsi" w:cstheme="minorHAnsi"/>
          <w:sz w:val="22"/>
          <w:szCs w:val="22"/>
        </w:rPr>
        <w:t>Εκπαιδεύοντας</w:t>
      </w:r>
      <w:r w:rsidRPr="00284256">
        <w:rPr>
          <w:rFonts w:asciiTheme="minorHAnsi" w:hAnsiTheme="minorHAnsi" w:cstheme="minorHAnsi"/>
          <w:sz w:val="22"/>
          <w:szCs w:val="22"/>
          <w:lang w:val="en-GB"/>
        </w:rPr>
        <w:t xml:space="preserve"> </w:t>
      </w:r>
      <w:r w:rsidRPr="00284256">
        <w:rPr>
          <w:rFonts w:asciiTheme="minorHAnsi" w:hAnsiTheme="minorHAnsi" w:cstheme="minorHAnsi"/>
          <w:sz w:val="22"/>
          <w:szCs w:val="22"/>
        </w:rPr>
        <w:t>τους</w:t>
      </w:r>
      <w:r w:rsidRPr="00284256">
        <w:rPr>
          <w:rFonts w:asciiTheme="minorHAnsi" w:hAnsiTheme="minorHAnsi" w:cstheme="minorHAnsi"/>
          <w:sz w:val="22"/>
          <w:szCs w:val="22"/>
          <w:lang w:val="en-GB"/>
        </w:rPr>
        <w:t xml:space="preserve"> </w:t>
      </w:r>
      <w:r w:rsidRPr="00284256">
        <w:rPr>
          <w:rFonts w:asciiTheme="minorHAnsi" w:hAnsiTheme="minorHAnsi" w:cstheme="minorHAnsi"/>
          <w:sz w:val="22"/>
          <w:szCs w:val="22"/>
        </w:rPr>
        <w:t>μελλοντικούς</w:t>
      </w:r>
      <w:r w:rsidRPr="00284256">
        <w:rPr>
          <w:rFonts w:asciiTheme="minorHAnsi" w:hAnsiTheme="minorHAnsi" w:cstheme="minorHAnsi"/>
          <w:sz w:val="22"/>
          <w:szCs w:val="22"/>
          <w:lang w:val="en-GB"/>
        </w:rPr>
        <w:t xml:space="preserve"> </w:t>
      </w:r>
      <w:r w:rsidRPr="00284256">
        <w:rPr>
          <w:rFonts w:asciiTheme="minorHAnsi" w:hAnsiTheme="minorHAnsi" w:cstheme="minorHAnsi"/>
          <w:sz w:val="22"/>
          <w:szCs w:val="22"/>
        </w:rPr>
        <w:t>εκπαιδευτικούς</w:t>
      </w:r>
      <w:r w:rsidRPr="00284256">
        <w:rPr>
          <w:rFonts w:asciiTheme="minorHAnsi" w:hAnsiTheme="minorHAnsi" w:cstheme="minorHAnsi"/>
          <w:sz w:val="22"/>
          <w:szCs w:val="22"/>
          <w:lang w:val="en-GB"/>
        </w:rPr>
        <w:t xml:space="preserve">: </w:t>
      </w:r>
      <w:r w:rsidRPr="00284256">
        <w:rPr>
          <w:rFonts w:asciiTheme="minorHAnsi" w:hAnsiTheme="minorHAnsi" w:cstheme="minorHAnsi"/>
          <w:sz w:val="22"/>
          <w:szCs w:val="22"/>
        </w:rPr>
        <w:t>Παράγοντες</w:t>
      </w:r>
      <w:r w:rsidRPr="00284256">
        <w:rPr>
          <w:rFonts w:asciiTheme="minorHAnsi" w:hAnsiTheme="minorHAnsi" w:cstheme="minorHAnsi"/>
          <w:sz w:val="22"/>
          <w:szCs w:val="22"/>
          <w:lang w:val="en-GB"/>
        </w:rPr>
        <w:t xml:space="preserve"> </w:t>
      </w:r>
      <w:r w:rsidRPr="00284256">
        <w:rPr>
          <w:rFonts w:asciiTheme="minorHAnsi" w:hAnsiTheme="minorHAnsi" w:cstheme="minorHAnsi"/>
          <w:sz w:val="22"/>
          <w:szCs w:val="22"/>
        </w:rPr>
        <w:t>που</w:t>
      </w:r>
      <w:r w:rsidRPr="00284256">
        <w:rPr>
          <w:rFonts w:asciiTheme="minorHAnsi" w:hAnsiTheme="minorHAnsi" w:cstheme="minorHAnsi"/>
          <w:sz w:val="22"/>
          <w:szCs w:val="22"/>
          <w:lang w:val="en-GB"/>
        </w:rPr>
        <w:t xml:space="preserve"> </w:t>
      </w:r>
      <w:r w:rsidRPr="00284256">
        <w:rPr>
          <w:rFonts w:asciiTheme="minorHAnsi" w:hAnsiTheme="minorHAnsi" w:cstheme="minorHAnsi"/>
          <w:sz w:val="22"/>
          <w:szCs w:val="22"/>
        </w:rPr>
        <w:t>διαφοροποιούν</w:t>
      </w:r>
      <w:r w:rsidRPr="00284256">
        <w:rPr>
          <w:rFonts w:asciiTheme="minorHAnsi" w:hAnsiTheme="minorHAnsi" w:cstheme="minorHAnsi"/>
          <w:sz w:val="22"/>
          <w:szCs w:val="22"/>
          <w:lang w:val="en-GB"/>
        </w:rPr>
        <w:t xml:space="preserve"> </w:t>
      </w:r>
      <w:r w:rsidRPr="00284256">
        <w:rPr>
          <w:rFonts w:asciiTheme="minorHAnsi" w:hAnsiTheme="minorHAnsi" w:cstheme="minorHAnsi"/>
          <w:sz w:val="22"/>
          <w:szCs w:val="22"/>
        </w:rPr>
        <w:t>τη</w:t>
      </w:r>
      <w:r w:rsidRPr="00284256">
        <w:rPr>
          <w:rFonts w:asciiTheme="minorHAnsi" w:hAnsiTheme="minorHAnsi" w:cstheme="minorHAnsi"/>
          <w:sz w:val="22"/>
          <w:szCs w:val="22"/>
          <w:lang w:val="en-GB"/>
        </w:rPr>
        <w:t xml:space="preserve"> </w:t>
      </w:r>
      <w:r w:rsidRPr="00284256">
        <w:rPr>
          <w:rFonts w:asciiTheme="minorHAnsi" w:hAnsiTheme="minorHAnsi" w:cstheme="minorHAnsi"/>
          <w:sz w:val="22"/>
          <w:szCs w:val="22"/>
        </w:rPr>
        <w:t>μαθησιακή</w:t>
      </w:r>
      <w:r w:rsidRPr="00284256">
        <w:rPr>
          <w:rFonts w:asciiTheme="minorHAnsi" w:hAnsiTheme="minorHAnsi" w:cstheme="minorHAnsi"/>
          <w:sz w:val="22"/>
          <w:szCs w:val="22"/>
          <w:lang w:val="en-GB"/>
        </w:rPr>
        <w:t xml:space="preserve"> </w:t>
      </w:r>
      <w:r w:rsidRPr="00284256">
        <w:rPr>
          <w:rFonts w:asciiTheme="minorHAnsi" w:hAnsiTheme="minorHAnsi" w:cstheme="minorHAnsi"/>
          <w:sz w:val="22"/>
          <w:szCs w:val="22"/>
        </w:rPr>
        <w:t>εμπειρία</w:t>
      </w:r>
      <w:r w:rsidRPr="00284256">
        <w:rPr>
          <w:rFonts w:asciiTheme="minorHAnsi" w:hAnsiTheme="minorHAnsi" w:cstheme="minorHAnsi"/>
          <w:sz w:val="22"/>
          <w:szCs w:val="22"/>
          <w:lang w:val="en-GB"/>
        </w:rPr>
        <w:t xml:space="preserve"> </w:t>
      </w:r>
      <w:r w:rsidRPr="00284256">
        <w:rPr>
          <w:rFonts w:asciiTheme="minorHAnsi" w:hAnsiTheme="minorHAnsi" w:cstheme="minorHAnsi"/>
          <w:sz w:val="22"/>
          <w:szCs w:val="22"/>
        </w:rPr>
        <w:t>των</w:t>
      </w:r>
      <w:r w:rsidRPr="00284256">
        <w:rPr>
          <w:rFonts w:asciiTheme="minorHAnsi" w:hAnsiTheme="minorHAnsi" w:cstheme="minorHAnsi"/>
          <w:sz w:val="22"/>
          <w:szCs w:val="22"/>
          <w:lang w:val="en-GB"/>
        </w:rPr>
        <w:t xml:space="preserve"> </w:t>
      </w:r>
      <w:r w:rsidRPr="00284256">
        <w:rPr>
          <w:rFonts w:asciiTheme="minorHAnsi" w:hAnsiTheme="minorHAnsi" w:cstheme="minorHAnsi"/>
          <w:sz w:val="22"/>
          <w:szCs w:val="22"/>
        </w:rPr>
        <w:t>υποψηφίων</w:t>
      </w:r>
      <w:r w:rsidRPr="00284256">
        <w:rPr>
          <w:rFonts w:asciiTheme="minorHAnsi" w:hAnsiTheme="minorHAnsi" w:cstheme="minorHAnsi"/>
          <w:sz w:val="22"/>
          <w:szCs w:val="22"/>
          <w:lang w:val="en-GB"/>
        </w:rPr>
        <w:t xml:space="preserve"> </w:t>
      </w:r>
      <w:r w:rsidRPr="00284256">
        <w:rPr>
          <w:rFonts w:asciiTheme="minorHAnsi" w:hAnsiTheme="minorHAnsi" w:cstheme="minorHAnsi"/>
          <w:sz w:val="22"/>
          <w:szCs w:val="22"/>
        </w:rPr>
        <w:t>εκπαιδευτικών</w:t>
      </w:r>
      <w:r w:rsidRPr="00284256">
        <w:rPr>
          <w:rFonts w:asciiTheme="minorHAnsi" w:hAnsiTheme="minorHAnsi" w:cstheme="minorHAnsi"/>
          <w:sz w:val="22"/>
          <w:szCs w:val="22"/>
          <w:lang w:val="en-GB"/>
        </w:rPr>
        <w:t xml:space="preserve"> </w:t>
      </w:r>
      <w:r w:rsidRPr="00284256">
        <w:rPr>
          <w:rFonts w:asciiTheme="minorHAnsi" w:hAnsiTheme="minorHAnsi" w:cstheme="minorHAnsi"/>
          <w:sz w:val="22"/>
          <w:szCs w:val="22"/>
        </w:rPr>
        <w:t>κατά</w:t>
      </w:r>
      <w:r w:rsidRPr="00284256">
        <w:rPr>
          <w:rFonts w:asciiTheme="minorHAnsi" w:hAnsiTheme="minorHAnsi" w:cstheme="minorHAnsi"/>
          <w:sz w:val="22"/>
          <w:szCs w:val="22"/>
          <w:lang w:val="en-GB"/>
        </w:rPr>
        <w:t xml:space="preserve"> </w:t>
      </w:r>
      <w:r w:rsidRPr="00284256">
        <w:rPr>
          <w:rFonts w:asciiTheme="minorHAnsi" w:hAnsiTheme="minorHAnsi" w:cstheme="minorHAnsi"/>
          <w:sz w:val="22"/>
          <w:szCs w:val="22"/>
        </w:rPr>
        <w:t>την</w:t>
      </w:r>
      <w:r w:rsidRPr="00284256">
        <w:rPr>
          <w:rFonts w:asciiTheme="minorHAnsi" w:hAnsiTheme="minorHAnsi" w:cstheme="minorHAnsi"/>
          <w:sz w:val="22"/>
          <w:szCs w:val="22"/>
          <w:lang w:val="en-GB"/>
        </w:rPr>
        <w:t xml:space="preserve"> </w:t>
      </w:r>
      <w:r w:rsidRPr="00284256">
        <w:rPr>
          <w:rFonts w:asciiTheme="minorHAnsi" w:hAnsiTheme="minorHAnsi" w:cstheme="minorHAnsi"/>
          <w:sz w:val="22"/>
          <w:szCs w:val="22"/>
        </w:rPr>
        <w:t>πρακτική</w:t>
      </w:r>
      <w:r w:rsidRPr="00284256">
        <w:rPr>
          <w:rFonts w:asciiTheme="minorHAnsi" w:hAnsiTheme="minorHAnsi" w:cstheme="minorHAnsi"/>
          <w:sz w:val="22"/>
          <w:szCs w:val="22"/>
          <w:lang w:val="en-GB"/>
        </w:rPr>
        <w:t xml:space="preserve"> </w:t>
      </w:r>
      <w:r w:rsidRPr="00284256">
        <w:rPr>
          <w:rFonts w:asciiTheme="minorHAnsi" w:hAnsiTheme="minorHAnsi" w:cstheme="minorHAnsi"/>
          <w:sz w:val="22"/>
          <w:szCs w:val="22"/>
        </w:rPr>
        <w:t>άσκηση</w:t>
      </w:r>
      <w:r w:rsidRPr="00284256">
        <w:rPr>
          <w:rFonts w:asciiTheme="minorHAnsi" w:hAnsiTheme="minorHAnsi" w:cstheme="minorHAnsi"/>
          <w:sz w:val="22"/>
          <w:szCs w:val="22"/>
          <w:lang w:val="en-GB"/>
        </w:rPr>
        <w:t xml:space="preserve">]. </w:t>
      </w:r>
      <w:r w:rsidRPr="00284256">
        <w:rPr>
          <w:rStyle w:val="Emphasis"/>
          <w:rFonts w:asciiTheme="minorHAnsi" w:hAnsiTheme="minorHAnsi" w:cstheme="minorHAnsi"/>
          <w:sz w:val="22"/>
          <w:szCs w:val="22"/>
          <w:lang w:val="en-US"/>
        </w:rPr>
        <w:t>Research in Education, 1</w:t>
      </w:r>
      <w:r w:rsidRPr="00284256">
        <w:rPr>
          <w:rFonts w:asciiTheme="minorHAnsi" w:hAnsiTheme="minorHAnsi" w:cstheme="minorHAnsi"/>
          <w:sz w:val="22"/>
          <w:szCs w:val="22"/>
          <w:lang w:val="en-US"/>
        </w:rPr>
        <w:t>(2), 65–85. https://doi.org/10.12681/hjre.8938 [In Greek]</w:t>
      </w:r>
    </w:p>
    <w:p w14:paraId="518321CA" w14:textId="69520F7D" w:rsidR="00EE1EC6" w:rsidRPr="00284256" w:rsidRDefault="00EE1EC6" w:rsidP="00EE1EC6">
      <w:pPr>
        <w:ind w:firstLine="284"/>
        <w:jc w:val="both"/>
        <w:rPr>
          <w:rFonts w:asciiTheme="minorHAnsi" w:hAnsiTheme="minorHAnsi" w:cstheme="minorHAnsi"/>
          <w:sz w:val="22"/>
          <w:szCs w:val="22"/>
          <w:lang w:val="en-US"/>
        </w:rPr>
      </w:pPr>
      <w:proofErr w:type="spellStart"/>
      <w:r w:rsidRPr="00284256">
        <w:rPr>
          <w:rFonts w:asciiTheme="minorHAnsi" w:hAnsiTheme="minorHAnsi" w:cstheme="minorHAnsi"/>
          <w:sz w:val="22"/>
          <w:szCs w:val="22"/>
          <w:lang w:val="en-US"/>
        </w:rPr>
        <w:t>Avg</w:t>
      </w:r>
      <w:r w:rsidR="00090AFE" w:rsidRPr="00284256">
        <w:rPr>
          <w:rFonts w:asciiTheme="minorHAnsi" w:hAnsiTheme="minorHAnsi" w:cstheme="minorHAnsi"/>
          <w:sz w:val="22"/>
          <w:szCs w:val="22"/>
          <w:lang w:val="en-US"/>
        </w:rPr>
        <w:t>i</w:t>
      </w:r>
      <w:r w:rsidRPr="00284256">
        <w:rPr>
          <w:rFonts w:asciiTheme="minorHAnsi" w:hAnsiTheme="minorHAnsi" w:cstheme="minorHAnsi"/>
          <w:sz w:val="22"/>
          <w:szCs w:val="22"/>
          <w:lang w:val="en-US"/>
        </w:rPr>
        <w:t>tidou</w:t>
      </w:r>
      <w:proofErr w:type="spellEnd"/>
      <w:r w:rsidRPr="00284256">
        <w:rPr>
          <w:rFonts w:asciiTheme="minorHAnsi" w:hAnsiTheme="minorHAnsi" w:cstheme="minorHAnsi"/>
          <w:sz w:val="22"/>
          <w:szCs w:val="22"/>
          <w:lang w:val="en-US"/>
        </w:rPr>
        <w:t xml:space="preserve">, S., &amp; </w:t>
      </w:r>
      <w:proofErr w:type="spellStart"/>
      <w:r w:rsidRPr="00284256">
        <w:rPr>
          <w:rFonts w:asciiTheme="minorHAnsi" w:hAnsiTheme="minorHAnsi" w:cstheme="minorHAnsi"/>
          <w:sz w:val="22"/>
          <w:szCs w:val="22"/>
          <w:lang w:val="en-US"/>
        </w:rPr>
        <w:t>Gourgiótou</w:t>
      </w:r>
      <w:proofErr w:type="spellEnd"/>
      <w:r w:rsidRPr="00284256">
        <w:rPr>
          <w:rFonts w:asciiTheme="minorHAnsi" w:hAnsiTheme="minorHAnsi" w:cstheme="minorHAnsi"/>
          <w:sz w:val="22"/>
          <w:szCs w:val="22"/>
          <w:lang w:val="en-US"/>
        </w:rPr>
        <w:t xml:space="preserve">, E. (2016). </w:t>
      </w:r>
      <w:r w:rsidRPr="00284256">
        <w:rPr>
          <w:rStyle w:val="Emphasis"/>
          <w:rFonts w:asciiTheme="minorHAnsi" w:hAnsiTheme="minorHAnsi" w:cstheme="minorHAnsi"/>
          <w:i w:val="0"/>
          <w:sz w:val="22"/>
          <w:szCs w:val="22"/>
          <w:lang w:val="en-US"/>
        </w:rPr>
        <w:t>The teacher as a reflective practitioner</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Ο</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εκπαιδευτικός</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ως</w:t>
      </w:r>
      <w:r w:rsidRPr="00284256">
        <w:rPr>
          <w:rFonts w:asciiTheme="minorHAnsi" w:hAnsiTheme="minorHAnsi" w:cstheme="minorHAnsi"/>
          <w:sz w:val="22"/>
          <w:szCs w:val="22"/>
          <w:lang w:val="en-US"/>
        </w:rPr>
        <w:t xml:space="preserve"> </w:t>
      </w:r>
      <w:proofErr w:type="spellStart"/>
      <w:r w:rsidRPr="00284256">
        <w:rPr>
          <w:rFonts w:asciiTheme="minorHAnsi" w:hAnsiTheme="minorHAnsi" w:cstheme="minorHAnsi"/>
          <w:sz w:val="22"/>
          <w:szCs w:val="22"/>
        </w:rPr>
        <w:t>στοχαζόμενος</w:t>
      </w:r>
      <w:proofErr w:type="spellEnd"/>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επαγγελματίας</w:t>
      </w:r>
      <w:r w:rsidRPr="00284256">
        <w:rPr>
          <w:rFonts w:asciiTheme="minorHAnsi" w:hAnsiTheme="minorHAnsi" w:cstheme="minorHAnsi"/>
          <w:sz w:val="22"/>
          <w:szCs w:val="22"/>
          <w:lang w:val="en-US"/>
        </w:rPr>
        <w:t xml:space="preserve">]. In S. </w:t>
      </w:r>
      <w:proofErr w:type="spellStart"/>
      <w:r w:rsidRPr="00284256">
        <w:rPr>
          <w:rFonts w:asciiTheme="minorHAnsi" w:hAnsiTheme="minorHAnsi" w:cstheme="minorHAnsi"/>
          <w:sz w:val="22"/>
          <w:szCs w:val="22"/>
          <w:lang w:val="en-US"/>
        </w:rPr>
        <w:t>Avgítidou</w:t>
      </w:r>
      <w:proofErr w:type="spellEnd"/>
      <w:r w:rsidRPr="00284256">
        <w:rPr>
          <w:rFonts w:asciiTheme="minorHAnsi" w:hAnsiTheme="minorHAnsi" w:cstheme="minorHAnsi"/>
          <w:sz w:val="22"/>
          <w:szCs w:val="22"/>
          <w:lang w:val="en-US"/>
        </w:rPr>
        <w:t xml:space="preserve">, M. </w:t>
      </w:r>
      <w:proofErr w:type="spellStart"/>
      <w:r w:rsidRPr="00284256">
        <w:rPr>
          <w:rFonts w:asciiTheme="minorHAnsi" w:hAnsiTheme="minorHAnsi" w:cstheme="minorHAnsi"/>
          <w:sz w:val="22"/>
          <w:szCs w:val="22"/>
          <w:lang w:val="en-US"/>
        </w:rPr>
        <w:t>Tzekaki</w:t>
      </w:r>
      <w:proofErr w:type="spellEnd"/>
      <w:r w:rsidRPr="00284256">
        <w:rPr>
          <w:rFonts w:asciiTheme="minorHAnsi" w:hAnsiTheme="minorHAnsi" w:cstheme="minorHAnsi"/>
          <w:sz w:val="22"/>
          <w:szCs w:val="22"/>
          <w:lang w:val="en-US"/>
        </w:rPr>
        <w:t xml:space="preserve">, &amp; V. </w:t>
      </w:r>
      <w:proofErr w:type="spellStart"/>
      <w:r w:rsidRPr="00284256">
        <w:rPr>
          <w:rFonts w:asciiTheme="minorHAnsi" w:hAnsiTheme="minorHAnsi" w:cstheme="minorHAnsi"/>
          <w:sz w:val="22"/>
          <w:szCs w:val="22"/>
          <w:lang w:val="en-US"/>
        </w:rPr>
        <w:t>Tsafos</w:t>
      </w:r>
      <w:proofErr w:type="spellEnd"/>
      <w:r w:rsidRPr="00284256">
        <w:rPr>
          <w:rFonts w:asciiTheme="minorHAnsi" w:hAnsiTheme="minorHAnsi" w:cstheme="minorHAnsi"/>
          <w:sz w:val="22"/>
          <w:szCs w:val="22"/>
          <w:lang w:val="en-US"/>
        </w:rPr>
        <w:t xml:space="preserve"> (Eds.), </w:t>
      </w:r>
      <w:r w:rsidRPr="00284256">
        <w:rPr>
          <w:rStyle w:val="Emphasis"/>
          <w:rFonts w:asciiTheme="minorHAnsi" w:hAnsiTheme="minorHAnsi" w:cstheme="minorHAnsi"/>
          <w:sz w:val="22"/>
          <w:szCs w:val="22"/>
          <w:lang w:val="en-US"/>
        </w:rPr>
        <w:t>Pre-service teachers observe, intervene, and reflect: Supporting the teaching practicum</w:t>
      </w:r>
      <w:r w:rsidRPr="00284256">
        <w:rPr>
          <w:rFonts w:asciiTheme="minorHAnsi" w:hAnsiTheme="minorHAnsi" w:cstheme="minorHAnsi"/>
          <w:sz w:val="22"/>
          <w:szCs w:val="22"/>
          <w:lang w:val="en-US"/>
        </w:rPr>
        <w:t xml:space="preserve"> (Vol. 1, Chap. 1, pp. 9–92). Gutenberg. [In Greek]</w:t>
      </w:r>
    </w:p>
    <w:p w14:paraId="2EB43181" w14:textId="77777777" w:rsidR="00EE1EC6" w:rsidRPr="00284256" w:rsidRDefault="00EE1EC6" w:rsidP="00EE1EC6">
      <w:pPr>
        <w:ind w:firstLine="284"/>
        <w:jc w:val="both"/>
        <w:rPr>
          <w:rFonts w:asciiTheme="minorHAnsi" w:hAnsiTheme="minorHAnsi" w:cstheme="minorHAnsi"/>
          <w:sz w:val="22"/>
          <w:szCs w:val="22"/>
          <w:lang w:val="en-US" w:eastAsia="el-GR"/>
        </w:rPr>
      </w:pPr>
      <w:proofErr w:type="spellStart"/>
      <w:r w:rsidRPr="00284256">
        <w:rPr>
          <w:rFonts w:asciiTheme="minorHAnsi" w:hAnsiTheme="minorHAnsi" w:cstheme="minorHAnsi"/>
          <w:sz w:val="22"/>
          <w:szCs w:val="22"/>
          <w:lang w:val="en-US" w:eastAsia="el-GR"/>
        </w:rPr>
        <w:t>Bjørndal</w:t>
      </w:r>
      <w:proofErr w:type="spellEnd"/>
      <w:r w:rsidRPr="00284256">
        <w:rPr>
          <w:rFonts w:asciiTheme="minorHAnsi" w:hAnsiTheme="minorHAnsi" w:cstheme="minorHAnsi"/>
          <w:sz w:val="22"/>
          <w:szCs w:val="22"/>
          <w:lang w:val="en-US" w:eastAsia="el-GR"/>
        </w:rPr>
        <w:t xml:space="preserve">, C., </w:t>
      </w:r>
      <w:proofErr w:type="spellStart"/>
      <w:r w:rsidRPr="00284256">
        <w:rPr>
          <w:rFonts w:asciiTheme="minorHAnsi" w:hAnsiTheme="minorHAnsi" w:cstheme="minorHAnsi"/>
          <w:sz w:val="22"/>
          <w:szCs w:val="22"/>
          <w:lang w:val="en-US" w:eastAsia="el-GR"/>
        </w:rPr>
        <w:t>Mathisen</w:t>
      </w:r>
      <w:proofErr w:type="spellEnd"/>
      <w:r w:rsidRPr="00284256">
        <w:rPr>
          <w:rFonts w:asciiTheme="minorHAnsi" w:hAnsiTheme="minorHAnsi" w:cstheme="minorHAnsi"/>
          <w:sz w:val="22"/>
          <w:szCs w:val="22"/>
          <w:lang w:val="en-US" w:eastAsia="el-GR"/>
        </w:rPr>
        <w:t xml:space="preserve">, P., </w:t>
      </w:r>
      <w:proofErr w:type="spellStart"/>
      <w:r w:rsidRPr="00284256">
        <w:rPr>
          <w:rFonts w:asciiTheme="minorHAnsi" w:hAnsiTheme="minorHAnsi" w:cstheme="minorHAnsi"/>
          <w:sz w:val="22"/>
          <w:szCs w:val="22"/>
          <w:lang w:val="en-US" w:eastAsia="el-GR"/>
        </w:rPr>
        <w:t>Wennergren</w:t>
      </w:r>
      <w:proofErr w:type="spellEnd"/>
      <w:r w:rsidRPr="00284256">
        <w:rPr>
          <w:rFonts w:asciiTheme="minorHAnsi" w:hAnsiTheme="minorHAnsi" w:cstheme="minorHAnsi"/>
          <w:sz w:val="22"/>
          <w:szCs w:val="22"/>
          <w:lang w:val="en-US" w:eastAsia="el-GR"/>
        </w:rPr>
        <w:t xml:space="preserve">, A.-C., &amp; </w:t>
      </w:r>
      <w:proofErr w:type="spellStart"/>
      <w:r w:rsidRPr="00284256">
        <w:rPr>
          <w:rFonts w:asciiTheme="minorHAnsi" w:hAnsiTheme="minorHAnsi" w:cstheme="minorHAnsi"/>
          <w:sz w:val="22"/>
          <w:szCs w:val="22"/>
          <w:lang w:val="en-US" w:eastAsia="el-GR"/>
        </w:rPr>
        <w:t>Thornberg</w:t>
      </w:r>
      <w:proofErr w:type="spellEnd"/>
      <w:r w:rsidRPr="00284256">
        <w:rPr>
          <w:rFonts w:asciiTheme="minorHAnsi" w:hAnsiTheme="minorHAnsi" w:cstheme="minorHAnsi"/>
          <w:sz w:val="22"/>
          <w:szCs w:val="22"/>
          <w:lang w:val="en-US" w:eastAsia="el-GR"/>
        </w:rPr>
        <w:t xml:space="preserve">, F. (2024). Challenges of the supervision process in the teacher education practicum – A qualitative research review. </w:t>
      </w:r>
      <w:r w:rsidRPr="00284256">
        <w:rPr>
          <w:rFonts w:asciiTheme="minorHAnsi" w:hAnsiTheme="minorHAnsi" w:cstheme="minorHAnsi"/>
          <w:i/>
          <w:iCs/>
          <w:sz w:val="22"/>
          <w:szCs w:val="22"/>
          <w:lang w:val="en-US" w:eastAsia="el-GR"/>
        </w:rPr>
        <w:t>Teaching and Teacher Education</w:t>
      </w:r>
      <w:r w:rsidRPr="00284256">
        <w:rPr>
          <w:rFonts w:asciiTheme="minorHAnsi" w:hAnsiTheme="minorHAnsi" w:cstheme="minorHAnsi"/>
          <w:sz w:val="22"/>
          <w:szCs w:val="22"/>
          <w:lang w:val="en-US" w:eastAsia="el-GR"/>
        </w:rPr>
        <w:t xml:space="preserve">, </w:t>
      </w:r>
      <w:r w:rsidRPr="00284256">
        <w:rPr>
          <w:rFonts w:asciiTheme="minorHAnsi" w:hAnsiTheme="minorHAnsi" w:cstheme="minorHAnsi"/>
          <w:i/>
          <w:iCs/>
          <w:sz w:val="22"/>
          <w:szCs w:val="22"/>
          <w:lang w:val="en-US" w:eastAsia="el-GR"/>
        </w:rPr>
        <w:t>146</w:t>
      </w:r>
      <w:r w:rsidRPr="00284256">
        <w:rPr>
          <w:rFonts w:asciiTheme="minorHAnsi" w:hAnsiTheme="minorHAnsi" w:cstheme="minorHAnsi"/>
          <w:sz w:val="22"/>
          <w:szCs w:val="22"/>
          <w:lang w:val="en-US" w:eastAsia="el-GR"/>
        </w:rPr>
        <w:t>, 104619. https://doi.org/10.1016/j.tate.2024.104619</w:t>
      </w:r>
    </w:p>
    <w:p w14:paraId="12DCB651" w14:textId="6D14645B" w:rsidR="001E2AC5" w:rsidRPr="00284256" w:rsidRDefault="001E2AC5" w:rsidP="00EE1EC6">
      <w:pPr>
        <w:ind w:firstLine="284"/>
        <w:jc w:val="both"/>
        <w:rPr>
          <w:rFonts w:asciiTheme="minorHAnsi" w:hAnsiTheme="minorHAnsi" w:cstheme="minorHAnsi"/>
          <w:sz w:val="22"/>
          <w:szCs w:val="22"/>
          <w:lang w:val="en-US" w:eastAsia="el-GR"/>
        </w:rPr>
      </w:pPr>
      <w:proofErr w:type="spellStart"/>
      <w:r w:rsidRPr="00284256">
        <w:rPr>
          <w:rFonts w:asciiTheme="minorHAnsi" w:hAnsiTheme="minorHAnsi" w:cstheme="minorHAnsi"/>
          <w:sz w:val="22"/>
          <w:szCs w:val="22"/>
          <w:lang w:val="en-US" w:eastAsia="el-GR"/>
        </w:rPr>
        <w:t>Boud</w:t>
      </w:r>
      <w:proofErr w:type="spellEnd"/>
      <w:r w:rsidRPr="00284256">
        <w:rPr>
          <w:rFonts w:asciiTheme="minorHAnsi" w:hAnsiTheme="minorHAnsi" w:cstheme="minorHAnsi"/>
          <w:sz w:val="22"/>
          <w:szCs w:val="22"/>
          <w:lang w:val="en-US" w:eastAsia="el-GR"/>
        </w:rPr>
        <w:t xml:space="preserve">, D., Keogh, R., &amp; Walker, D. (Eds.). (1985). </w:t>
      </w:r>
      <w:r w:rsidRPr="00284256">
        <w:rPr>
          <w:rFonts w:asciiTheme="minorHAnsi" w:hAnsiTheme="minorHAnsi" w:cstheme="minorHAnsi"/>
          <w:i/>
          <w:sz w:val="22"/>
          <w:szCs w:val="22"/>
          <w:lang w:val="en-US" w:eastAsia="el-GR"/>
        </w:rPr>
        <w:t xml:space="preserve">Reflection: Turning Experience into Learning </w:t>
      </w:r>
      <w:r w:rsidRPr="00284256">
        <w:rPr>
          <w:rFonts w:asciiTheme="minorHAnsi" w:hAnsiTheme="minorHAnsi" w:cstheme="minorHAnsi"/>
          <w:sz w:val="22"/>
          <w:szCs w:val="22"/>
          <w:lang w:val="en-US" w:eastAsia="el-GR"/>
        </w:rPr>
        <w:t xml:space="preserve">(1st ed.). Routledge. </w:t>
      </w:r>
    </w:p>
    <w:p w14:paraId="7BB94393" w14:textId="5BB3915E" w:rsidR="00EE1EC6" w:rsidRPr="00284256" w:rsidRDefault="00EE1EC6" w:rsidP="00EE1EC6">
      <w:pPr>
        <w:ind w:firstLine="284"/>
        <w:jc w:val="both"/>
        <w:rPr>
          <w:rFonts w:asciiTheme="minorHAnsi" w:hAnsiTheme="minorHAnsi" w:cstheme="minorHAnsi"/>
          <w:sz w:val="22"/>
          <w:szCs w:val="22"/>
          <w:lang w:val="en-US" w:eastAsia="el-GR"/>
        </w:rPr>
      </w:pPr>
      <w:r w:rsidRPr="00284256">
        <w:rPr>
          <w:rFonts w:asciiTheme="minorHAnsi" w:hAnsiTheme="minorHAnsi" w:cstheme="minorHAnsi"/>
          <w:sz w:val="22"/>
          <w:szCs w:val="22"/>
          <w:lang w:val="en-US" w:eastAsia="el-GR"/>
        </w:rPr>
        <w:t xml:space="preserve">Braun, V., &amp; Clarke, V. (2006). Using Thematic Analysis in Psychology. </w:t>
      </w:r>
      <w:r w:rsidRPr="00284256">
        <w:rPr>
          <w:rFonts w:asciiTheme="minorHAnsi" w:hAnsiTheme="minorHAnsi" w:cstheme="minorHAnsi"/>
          <w:i/>
          <w:iCs/>
          <w:sz w:val="22"/>
          <w:szCs w:val="22"/>
          <w:lang w:val="en-US" w:eastAsia="el-GR"/>
        </w:rPr>
        <w:t>Qualitative Research in Psychology</w:t>
      </w:r>
      <w:r w:rsidRPr="00284256">
        <w:rPr>
          <w:rFonts w:asciiTheme="minorHAnsi" w:hAnsiTheme="minorHAnsi" w:cstheme="minorHAnsi"/>
          <w:sz w:val="22"/>
          <w:szCs w:val="22"/>
          <w:lang w:val="en-US" w:eastAsia="el-GR"/>
        </w:rPr>
        <w:t xml:space="preserve">, </w:t>
      </w:r>
      <w:r w:rsidRPr="00284256">
        <w:rPr>
          <w:rFonts w:asciiTheme="minorHAnsi" w:hAnsiTheme="minorHAnsi" w:cstheme="minorHAnsi"/>
          <w:i/>
          <w:iCs/>
          <w:sz w:val="22"/>
          <w:szCs w:val="22"/>
          <w:lang w:val="en-US" w:eastAsia="el-GR"/>
        </w:rPr>
        <w:t>3</w:t>
      </w:r>
      <w:r w:rsidRPr="00284256">
        <w:rPr>
          <w:rFonts w:asciiTheme="minorHAnsi" w:hAnsiTheme="minorHAnsi" w:cstheme="minorHAnsi"/>
          <w:sz w:val="22"/>
          <w:szCs w:val="22"/>
          <w:lang w:val="en-US" w:eastAsia="el-GR"/>
        </w:rPr>
        <w:t xml:space="preserve">(2), 77–101. https://doi.org/10.1191/1478088706qp063oa </w:t>
      </w:r>
    </w:p>
    <w:p w14:paraId="0D624A4D" w14:textId="77777777" w:rsidR="00EE1EC6" w:rsidRPr="00284256" w:rsidRDefault="00EE1EC6" w:rsidP="00EE1EC6">
      <w:pPr>
        <w:ind w:firstLine="284"/>
        <w:jc w:val="both"/>
        <w:rPr>
          <w:rFonts w:asciiTheme="minorHAnsi" w:hAnsiTheme="minorHAnsi" w:cstheme="minorHAnsi"/>
          <w:sz w:val="22"/>
          <w:szCs w:val="22"/>
          <w:lang w:val="en-US" w:eastAsia="el-GR"/>
        </w:rPr>
      </w:pPr>
      <w:proofErr w:type="spellStart"/>
      <w:r w:rsidRPr="00284256">
        <w:rPr>
          <w:rFonts w:asciiTheme="minorHAnsi" w:hAnsiTheme="minorHAnsi" w:cstheme="minorHAnsi"/>
          <w:sz w:val="22"/>
          <w:szCs w:val="22"/>
          <w:lang w:val="en-US" w:eastAsia="el-GR"/>
        </w:rPr>
        <w:lastRenderedPageBreak/>
        <w:t>Byth</w:t>
      </w:r>
      <w:proofErr w:type="spellEnd"/>
      <w:r w:rsidRPr="00284256">
        <w:rPr>
          <w:rFonts w:asciiTheme="minorHAnsi" w:hAnsiTheme="minorHAnsi" w:cstheme="minorHAnsi"/>
          <w:sz w:val="22"/>
          <w:szCs w:val="22"/>
          <w:lang w:val="en-US" w:eastAsia="el-GR"/>
        </w:rPr>
        <w:t xml:space="preserve">, A. (2024). Addressing the hidden </w:t>
      </w:r>
      <w:proofErr w:type="spellStart"/>
      <w:r w:rsidRPr="00284256">
        <w:rPr>
          <w:rFonts w:asciiTheme="minorHAnsi" w:hAnsiTheme="minorHAnsi" w:cstheme="minorHAnsi"/>
          <w:sz w:val="22"/>
          <w:szCs w:val="22"/>
          <w:lang w:val="en-US" w:eastAsia="el-GR"/>
        </w:rPr>
        <w:t>labour</w:t>
      </w:r>
      <w:proofErr w:type="spellEnd"/>
      <w:r w:rsidRPr="00284256">
        <w:rPr>
          <w:rFonts w:asciiTheme="minorHAnsi" w:hAnsiTheme="minorHAnsi" w:cstheme="minorHAnsi"/>
          <w:sz w:val="22"/>
          <w:szCs w:val="22"/>
          <w:lang w:val="en-US" w:eastAsia="el-GR"/>
        </w:rPr>
        <w:t xml:space="preserve"> of mentoring preservice teachers</w:t>
      </w:r>
      <w:r w:rsidRPr="00284256">
        <w:rPr>
          <w:rFonts w:asciiTheme="minorHAnsi" w:hAnsiTheme="minorHAnsi" w:cstheme="minorHAnsi"/>
          <w:i/>
          <w:sz w:val="22"/>
          <w:szCs w:val="22"/>
          <w:lang w:val="en-US" w:eastAsia="el-GR"/>
        </w:rPr>
        <w:t>. The Australian Educational Researcher</w:t>
      </w:r>
      <w:r w:rsidRPr="00284256">
        <w:rPr>
          <w:rFonts w:asciiTheme="minorHAnsi" w:hAnsiTheme="minorHAnsi" w:cstheme="minorHAnsi"/>
          <w:sz w:val="22"/>
          <w:szCs w:val="22"/>
          <w:lang w:val="en-US" w:eastAsia="el-GR"/>
        </w:rPr>
        <w:t xml:space="preserve">, </w:t>
      </w:r>
      <w:r w:rsidRPr="00284256">
        <w:rPr>
          <w:rFonts w:asciiTheme="minorHAnsi" w:hAnsiTheme="minorHAnsi" w:cstheme="minorHAnsi"/>
          <w:i/>
          <w:sz w:val="22"/>
          <w:szCs w:val="22"/>
          <w:lang w:val="en-US" w:eastAsia="el-GR"/>
        </w:rPr>
        <w:t>52</w:t>
      </w:r>
      <w:r w:rsidRPr="00284256">
        <w:rPr>
          <w:rFonts w:asciiTheme="minorHAnsi" w:hAnsiTheme="minorHAnsi" w:cstheme="minorHAnsi"/>
          <w:sz w:val="22"/>
          <w:szCs w:val="22"/>
          <w:lang w:val="en-US" w:eastAsia="el-GR"/>
        </w:rPr>
        <w:t>, 1451–1469 https://doi.org/10.1007/s13384-024-00770-9</w:t>
      </w:r>
    </w:p>
    <w:p w14:paraId="0EC93508" w14:textId="77777777" w:rsidR="00EE1EC6" w:rsidRPr="00284256" w:rsidRDefault="00EE1EC6" w:rsidP="00EE1EC6">
      <w:pPr>
        <w:ind w:firstLine="284"/>
        <w:jc w:val="both"/>
        <w:rPr>
          <w:rFonts w:asciiTheme="minorHAnsi" w:hAnsiTheme="minorHAnsi" w:cstheme="minorHAnsi"/>
          <w:sz w:val="22"/>
          <w:szCs w:val="22"/>
          <w:lang w:val="en-US"/>
        </w:rPr>
      </w:pPr>
      <w:proofErr w:type="spellStart"/>
      <w:r w:rsidRPr="00284256">
        <w:rPr>
          <w:rFonts w:asciiTheme="minorHAnsi" w:hAnsiTheme="minorHAnsi" w:cstheme="minorHAnsi"/>
          <w:sz w:val="22"/>
          <w:szCs w:val="22"/>
          <w:lang w:val="en-US"/>
        </w:rPr>
        <w:t>Chrysafidis</w:t>
      </w:r>
      <w:proofErr w:type="spellEnd"/>
      <w:r w:rsidRPr="00284256">
        <w:rPr>
          <w:rFonts w:asciiTheme="minorHAnsi" w:hAnsiTheme="minorHAnsi" w:cstheme="minorHAnsi"/>
          <w:sz w:val="22"/>
          <w:szCs w:val="22"/>
          <w:lang w:val="en-US"/>
        </w:rPr>
        <w:t xml:space="preserve">, K. (2013). </w:t>
      </w:r>
      <w:r w:rsidRPr="00284256">
        <w:rPr>
          <w:rStyle w:val="Emphasis"/>
          <w:rFonts w:asciiTheme="minorHAnsi" w:hAnsiTheme="minorHAnsi" w:cstheme="minorHAnsi"/>
          <w:i w:val="0"/>
          <w:sz w:val="22"/>
          <w:szCs w:val="22"/>
          <w:lang w:val="en-US"/>
        </w:rPr>
        <w:t xml:space="preserve">The teaching practicum in education departments: Between </w:t>
      </w:r>
      <w:proofErr w:type="spellStart"/>
      <w:r w:rsidRPr="00284256">
        <w:rPr>
          <w:rStyle w:val="Emphasis"/>
          <w:rFonts w:asciiTheme="minorHAnsi" w:hAnsiTheme="minorHAnsi" w:cstheme="minorHAnsi"/>
          <w:i w:val="0"/>
          <w:sz w:val="22"/>
          <w:szCs w:val="22"/>
          <w:lang w:val="en-US"/>
        </w:rPr>
        <w:t>practicism</w:t>
      </w:r>
      <w:proofErr w:type="spellEnd"/>
      <w:r w:rsidRPr="00284256">
        <w:rPr>
          <w:rStyle w:val="Emphasis"/>
          <w:rFonts w:asciiTheme="minorHAnsi" w:hAnsiTheme="minorHAnsi" w:cstheme="minorHAnsi"/>
          <w:i w:val="0"/>
          <w:sz w:val="22"/>
          <w:szCs w:val="22"/>
          <w:lang w:val="en-US"/>
        </w:rPr>
        <w:t xml:space="preserve"> and ineffective </w:t>
      </w:r>
      <w:proofErr w:type="spellStart"/>
      <w:r w:rsidRPr="00284256">
        <w:rPr>
          <w:rStyle w:val="Emphasis"/>
          <w:rFonts w:asciiTheme="minorHAnsi" w:hAnsiTheme="minorHAnsi" w:cstheme="minorHAnsi"/>
          <w:i w:val="0"/>
          <w:sz w:val="22"/>
          <w:szCs w:val="22"/>
          <w:lang w:val="en-US"/>
        </w:rPr>
        <w:t>theoreticism</w:t>
      </w:r>
      <w:proofErr w:type="spellEnd"/>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Πρακτική</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Άσκηση</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Φοιτητών</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Παιδαγωγικών</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Τμημάτων</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Ανάμεσα</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στον</w:t>
      </w:r>
      <w:r w:rsidRPr="00284256">
        <w:rPr>
          <w:rFonts w:asciiTheme="minorHAnsi" w:hAnsiTheme="minorHAnsi" w:cstheme="minorHAnsi"/>
          <w:sz w:val="22"/>
          <w:szCs w:val="22"/>
          <w:lang w:val="en-US"/>
        </w:rPr>
        <w:t xml:space="preserve"> </w:t>
      </w:r>
      <w:proofErr w:type="spellStart"/>
      <w:r w:rsidRPr="00284256">
        <w:rPr>
          <w:rFonts w:asciiTheme="minorHAnsi" w:hAnsiTheme="minorHAnsi" w:cstheme="minorHAnsi"/>
          <w:sz w:val="22"/>
          <w:szCs w:val="22"/>
        </w:rPr>
        <w:t>πρακτικισμό</w:t>
      </w:r>
      <w:proofErr w:type="spellEnd"/>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και</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την</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αναποτελεσματική</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θεωρητικολογία</w:t>
      </w:r>
      <w:r w:rsidRPr="00284256">
        <w:rPr>
          <w:rFonts w:asciiTheme="minorHAnsi" w:hAnsiTheme="minorHAnsi" w:cstheme="minorHAnsi"/>
          <w:sz w:val="22"/>
          <w:szCs w:val="22"/>
          <w:lang w:val="en-US"/>
        </w:rPr>
        <w:t xml:space="preserve">]. In A. </w:t>
      </w:r>
      <w:proofErr w:type="spellStart"/>
      <w:r w:rsidRPr="00284256">
        <w:rPr>
          <w:rFonts w:asciiTheme="minorHAnsi" w:hAnsiTheme="minorHAnsi" w:cstheme="minorHAnsi"/>
          <w:sz w:val="22"/>
          <w:szCs w:val="22"/>
          <w:lang w:val="en-US"/>
        </w:rPr>
        <w:t>Androusou</w:t>
      </w:r>
      <w:proofErr w:type="spellEnd"/>
      <w:r w:rsidRPr="00284256">
        <w:rPr>
          <w:rFonts w:asciiTheme="minorHAnsi" w:hAnsiTheme="minorHAnsi" w:cstheme="minorHAnsi"/>
          <w:sz w:val="22"/>
          <w:szCs w:val="22"/>
          <w:lang w:val="en-US"/>
        </w:rPr>
        <w:t xml:space="preserve"> &amp; S. </w:t>
      </w:r>
      <w:proofErr w:type="spellStart"/>
      <w:r w:rsidRPr="00284256">
        <w:rPr>
          <w:rFonts w:asciiTheme="minorHAnsi" w:hAnsiTheme="minorHAnsi" w:cstheme="minorHAnsi"/>
          <w:sz w:val="22"/>
          <w:szCs w:val="22"/>
          <w:lang w:val="en-US"/>
        </w:rPr>
        <w:t>Avgitidou</w:t>
      </w:r>
      <w:proofErr w:type="spellEnd"/>
      <w:r w:rsidRPr="00284256">
        <w:rPr>
          <w:rFonts w:asciiTheme="minorHAnsi" w:hAnsiTheme="minorHAnsi" w:cstheme="minorHAnsi"/>
          <w:sz w:val="22"/>
          <w:szCs w:val="22"/>
          <w:lang w:val="en-US"/>
        </w:rPr>
        <w:t xml:space="preserve"> (Eds.), </w:t>
      </w:r>
      <w:r w:rsidRPr="00284256">
        <w:rPr>
          <w:rStyle w:val="Emphasis"/>
          <w:rFonts w:asciiTheme="minorHAnsi" w:hAnsiTheme="minorHAnsi" w:cstheme="minorHAnsi"/>
          <w:sz w:val="22"/>
          <w:szCs w:val="22"/>
          <w:lang w:val="en-US"/>
        </w:rPr>
        <w:t>The teaching practicum in initial teacher education: Research approaches</w:t>
      </w:r>
      <w:r w:rsidRPr="00284256">
        <w:rPr>
          <w:rFonts w:asciiTheme="minorHAnsi" w:hAnsiTheme="minorHAnsi" w:cstheme="minorHAnsi"/>
          <w:sz w:val="22"/>
          <w:szCs w:val="22"/>
          <w:lang w:val="en-US"/>
        </w:rPr>
        <w:t xml:space="preserve"> (pp. 173–196). Teaching Practicum Network, Department of Early Childhood Education, National and </w:t>
      </w:r>
      <w:proofErr w:type="spellStart"/>
      <w:r w:rsidRPr="00284256">
        <w:rPr>
          <w:rFonts w:asciiTheme="minorHAnsi" w:hAnsiTheme="minorHAnsi" w:cstheme="minorHAnsi"/>
          <w:sz w:val="22"/>
          <w:szCs w:val="22"/>
          <w:lang w:val="en-US"/>
        </w:rPr>
        <w:t>Kapodistrian</w:t>
      </w:r>
      <w:proofErr w:type="spellEnd"/>
      <w:r w:rsidRPr="00284256">
        <w:rPr>
          <w:rFonts w:asciiTheme="minorHAnsi" w:hAnsiTheme="minorHAnsi" w:cstheme="minorHAnsi"/>
          <w:sz w:val="22"/>
          <w:szCs w:val="22"/>
          <w:lang w:val="en-US"/>
        </w:rPr>
        <w:t xml:space="preserve"> University of Athens. [In Greek]</w:t>
      </w:r>
    </w:p>
    <w:p w14:paraId="58042B34" w14:textId="77777777" w:rsidR="00EE1EC6" w:rsidRPr="00284256" w:rsidRDefault="00EE1EC6" w:rsidP="00EE1EC6">
      <w:pPr>
        <w:ind w:firstLine="284"/>
        <w:jc w:val="both"/>
        <w:rPr>
          <w:rFonts w:asciiTheme="minorHAnsi" w:hAnsiTheme="minorHAnsi" w:cstheme="minorHAnsi"/>
          <w:sz w:val="22"/>
          <w:szCs w:val="22"/>
          <w:lang w:val="en-US" w:eastAsia="el-GR"/>
        </w:rPr>
      </w:pPr>
      <w:r w:rsidRPr="00284256">
        <w:rPr>
          <w:rFonts w:asciiTheme="minorHAnsi" w:hAnsiTheme="minorHAnsi" w:cstheme="minorHAnsi"/>
          <w:sz w:val="22"/>
          <w:szCs w:val="22"/>
          <w:lang w:val="en-US" w:eastAsia="el-GR"/>
        </w:rPr>
        <w:t xml:space="preserve">Clarke, A., </w:t>
      </w:r>
      <w:proofErr w:type="spellStart"/>
      <w:r w:rsidRPr="00284256">
        <w:rPr>
          <w:rFonts w:asciiTheme="minorHAnsi" w:hAnsiTheme="minorHAnsi" w:cstheme="minorHAnsi"/>
          <w:sz w:val="22"/>
          <w:szCs w:val="22"/>
          <w:lang w:val="en-US" w:eastAsia="el-GR"/>
        </w:rPr>
        <w:t>Triggs</w:t>
      </w:r>
      <w:proofErr w:type="spellEnd"/>
      <w:r w:rsidRPr="00284256">
        <w:rPr>
          <w:rFonts w:asciiTheme="minorHAnsi" w:hAnsiTheme="minorHAnsi" w:cstheme="minorHAnsi"/>
          <w:sz w:val="22"/>
          <w:szCs w:val="22"/>
          <w:lang w:val="en-US" w:eastAsia="el-GR"/>
        </w:rPr>
        <w:t xml:space="preserve">, V., &amp; Nielsen, W. (2014). Cooperating teacher participation in teacher education: A review of the literature. </w:t>
      </w:r>
      <w:r w:rsidRPr="00284256">
        <w:rPr>
          <w:rFonts w:asciiTheme="minorHAnsi" w:hAnsiTheme="minorHAnsi" w:cstheme="minorHAnsi"/>
          <w:i/>
          <w:iCs/>
          <w:sz w:val="22"/>
          <w:szCs w:val="22"/>
          <w:lang w:val="en-US" w:eastAsia="el-GR"/>
        </w:rPr>
        <w:t>Review of Educational Research, 84</w:t>
      </w:r>
      <w:r w:rsidRPr="00284256">
        <w:rPr>
          <w:rFonts w:asciiTheme="minorHAnsi" w:hAnsiTheme="minorHAnsi" w:cstheme="minorHAnsi"/>
          <w:sz w:val="22"/>
          <w:szCs w:val="22"/>
          <w:lang w:val="en-US" w:eastAsia="el-GR"/>
        </w:rPr>
        <w:t xml:space="preserve">(2), 163–202. </w:t>
      </w:r>
      <w:r w:rsidRPr="00284256">
        <w:rPr>
          <w:rFonts w:asciiTheme="minorHAnsi" w:eastAsiaTheme="majorEastAsia" w:hAnsiTheme="minorHAnsi" w:cstheme="minorHAnsi"/>
          <w:sz w:val="22"/>
          <w:szCs w:val="22"/>
          <w:lang w:val="en-US" w:eastAsia="el-GR"/>
        </w:rPr>
        <w:t>https://doi.org/10.3102/0034654313499618</w:t>
      </w:r>
    </w:p>
    <w:p w14:paraId="32FA45AE" w14:textId="77777777" w:rsidR="00EE1EC6" w:rsidRPr="00284256" w:rsidRDefault="00EE1EC6" w:rsidP="00EE1EC6">
      <w:pPr>
        <w:ind w:firstLine="284"/>
        <w:jc w:val="both"/>
        <w:rPr>
          <w:rFonts w:asciiTheme="minorHAnsi" w:hAnsiTheme="minorHAnsi" w:cstheme="minorHAnsi"/>
          <w:sz w:val="22"/>
          <w:szCs w:val="22"/>
          <w:lang w:val="en-US" w:eastAsia="el-GR"/>
        </w:rPr>
      </w:pPr>
      <w:r w:rsidRPr="00284256">
        <w:rPr>
          <w:rFonts w:asciiTheme="minorHAnsi" w:hAnsiTheme="minorHAnsi" w:cstheme="minorHAnsi"/>
          <w:sz w:val="22"/>
          <w:szCs w:val="22"/>
          <w:lang w:val="en-US" w:eastAsia="el-GR"/>
        </w:rPr>
        <w:t xml:space="preserve">Creswell, J. W., &amp; Plano Clark, V. L. (2017). </w:t>
      </w:r>
      <w:r w:rsidRPr="00284256">
        <w:rPr>
          <w:rFonts w:asciiTheme="minorHAnsi" w:hAnsiTheme="minorHAnsi" w:cstheme="minorHAnsi"/>
          <w:i/>
          <w:sz w:val="22"/>
          <w:szCs w:val="22"/>
          <w:lang w:val="en-US" w:eastAsia="el-GR"/>
        </w:rPr>
        <w:t>Designing and conducting mixed methods research</w:t>
      </w:r>
      <w:r w:rsidRPr="00284256">
        <w:rPr>
          <w:rFonts w:asciiTheme="minorHAnsi" w:hAnsiTheme="minorHAnsi" w:cstheme="minorHAnsi"/>
          <w:sz w:val="22"/>
          <w:szCs w:val="22"/>
          <w:lang w:val="en-US" w:eastAsia="el-GR"/>
        </w:rPr>
        <w:t xml:space="preserve"> (3rd ed.). Sage.</w:t>
      </w:r>
    </w:p>
    <w:p w14:paraId="464FEB3E" w14:textId="77777777" w:rsidR="00EE1EC6" w:rsidRPr="00284256" w:rsidRDefault="00EE1EC6" w:rsidP="00EE1EC6">
      <w:pPr>
        <w:ind w:firstLine="284"/>
        <w:jc w:val="both"/>
        <w:rPr>
          <w:rFonts w:asciiTheme="minorHAnsi" w:hAnsiTheme="minorHAnsi" w:cstheme="minorHAnsi"/>
          <w:sz w:val="22"/>
          <w:szCs w:val="22"/>
          <w:lang w:val="en-US" w:eastAsia="el-GR"/>
        </w:rPr>
      </w:pPr>
      <w:r w:rsidRPr="00284256">
        <w:rPr>
          <w:rFonts w:asciiTheme="minorHAnsi" w:hAnsiTheme="minorHAnsi" w:cstheme="minorHAnsi"/>
          <w:sz w:val="22"/>
          <w:szCs w:val="22"/>
          <w:lang w:val="en-US" w:eastAsia="el-GR"/>
        </w:rPr>
        <w:t xml:space="preserve">Darling-Hammond, L. (2017). Teacher education around the world: What can we learn from international practice? </w:t>
      </w:r>
      <w:r w:rsidRPr="00284256">
        <w:rPr>
          <w:rFonts w:asciiTheme="minorHAnsi" w:hAnsiTheme="minorHAnsi" w:cstheme="minorHAnsi"/>
          <w:i/>
          <w:iCs/>
          <w:sz w:val="22"/>
          <w:szCs w:val="22"/>
          <w:lang w:val="en-US" w:eastAsia="el-GR"/>
        </w:rPr>
        <w:t>European Journal of Teacher Education, 40</w:t>
      </w:r>
      <w:r w:rsidRPr="00284256">
        <w:rPr>
          <w:rFonts w:asciiTheme="minorHAnsi" w:hAnsiTheme="minorHAnsi" w:cstheme="minorHAnsi"/>
          <w:sz w:val="22"/>
          <w:szCs w:val="22"/>
          <w:lang w:val="en-US" w:eastAsia="el-GR"/>
        </w:rPr>
        <w:t xml:space="preserve">(3), 291–309. </w:t>
      </w:r>
      <w:r w:rsidRPr="00284256">
        <w:rPr>
          <w:rFonts w:asciiTheme="minorHAnsi" w:eastAsiaTheme="majorEastAsia" w:hAnsiTheme="minorHAnsi" w:cstheme="minorHAnsi"/>
          <w:sz w:val="22"/>
          <w:szCs w:val="22"/>
          <w:lang w:val="en-US" w:eastAsia="el-GR"/>
        </w:rPr>
        <w:t>https://doi.org/10.1080/02619768.2017.1315399</w:t>
      </w:r>
    </w:p>
    <w:p w14:paraId="03008ADC" w14:textId="77777777" w:rsidR="00EE1EC6" w:rsidRPr="00284256" w:rsidRDefault="00EE1EC6" w:rsidP="00EE1EC6">
      <w:pPr>
        <w:ind w:firstLine="284"/>
        <w:jc w:val="both"/>
        <w:outlineLvl w:val="1"/>
        <w:rPr>
          <w:rFonts w:asciiTheme="minorHAnsi" w:hAnsiTheme="minorHAnsi" w:cstheme="minorHAnsi"/>
          <w:sz w:val="22"/>
          <w:szCs w:val="22"/>
          <w:lang w:val="en-US" w:eastAsia="el-GR"/>
        </w:rPr>
      </w:pPr>
      <w:proofErr w:type="spellStart"/>
      <w:r w:rsidRPr="00284256">
        <w:rPr>
          <w:rFonts w:asciiTheme="minorHAnsi" w:hAnsiTheme="minorHAnsi" w:cstheme="minorHAnsi"/>
          <w:sz w:val="22"/>
          <w:szCs w:val="22"/>
          <w:lang w:val="en-US" w:eastAsia="el-GR"/>
        </w:rPr>
        <w:t>Dreer</w:t>
      </w:r>
      <w:proofErr w:type="spellEnd"/>
      <w:r w:rsidRPr="00284256">
        <w:rPr>
          <w:rFonts w:asciiTheme="minorHAnsi" w:hAnsiTheme="minorHAnsi" w:cstheme="minorHAnsi"/>
          <w:sz w:val="22"/>
          <w:szCs w:val="22"/>
          <w:lang w:val="en-US" w:eastAsia="el-GR"/>
        </w:rPr>
        <w:t xml:space="preserve">-Goethe, B. (2025). The impact of mentor support and high-quality connections on student teachers’ psychological safety and engagement during practicum. </w:t>
      </w:r>
      <w:r w:rsidRPr="00284256">
        <w:rPr>
          <w:rFonts w:asciiTheme="minorHAnsi" w:hAnsiTheme="minorHAnsi" w:cstheme="minorHAnsi"/>
          <w:i/>
          <w:sz w:val="22"/>
          <w:szCs w:val="22"/>
          <w:lang w:val="en-US" w:eastAsia="el-GR"/>
        </w:rPr>
        <w:t>Frontiers in Education</w:t>
      </w:r>
      <w:r w:rsidRPr="00284256">
        <w:rPr>
          <w:rFonts w:asciiTheme="minorHAnsi" w:hAnsiTheme="minorHAnsi" w:cstheme="minorHAnsi"/>
          <w:sz w:val="22"/>
          <w:szCs w:val="22"/>
          <w:lang w:val="en-US" w:eastAsia="el-GR"/>
        </w:rPr>
        <w:t xml:space="preserve">, </w:t>
      </w:r>
      <w:r w:rsidRPr="00284256">
        <w:rPr>
          <w:rFonts w:asciiTheme="minorHAnsi" w:hAnsiTheme="minorHAnsi" w:cstheme="minorHAnsi"/>
          <w:i/>
          <w:sz w:val="22"/>
          <w:szCs w:val="22"/>
          <w:lang w:val="en-US" w:eastAsia="el-GR"/>
        </w:rPr>
        <w:t>10</w:t>
      </w:r>
      <w:r w:rsidRPr="00284256">
        <w:rPr>
          <w:rFonts w:asciiTheme="minorHAnsi" w:hAnsiTheme="minorHAnsi" w:cstheme="minorHAnsi"/>
          <w:sz w:val="22"/>
          <w:szCs w:val="22"/>
          <w:lang w:val="en-US" w:eastAsia="el-GR"/>
        </w:rPr>
        <w:t>. https://doi.org/10.3389/feduc.2025.1499749</w:t>
      </w:r>
    </w:p>
    <w:p w14:paraId="350091E5" w14:textId="77777777" w:rsidR="00EE1EC6" w:rsidRPr="00284256" w:rsidRDefault="00EE1EC6" w:rsidP="00EE1EC6">
      <w:pPr>
        <w:ind w:firstLine="284"/>
        <w:jc w:val="both"/>
        <w:rPr>
          <w:rFonts w:asciiTheme="minorHAnsi" w:hAnsiTheme="minorHAnsi" w:cstheme="minorHAnsi"/>
          <w:sz w:val="22"/>
          <w:szCs w:val="22"/>
          <w:lang w:val="en-US" w:eastAsia="el-GR"/>
        </w:rPr>
      </w:pPr>
      <w:r w:rsidRPr="00284256">
        <w:rPr>
          <w:rFonts w:asciiTheme="minorHAnsi" w:hAnsiTheme="minorHAnsi" w:cstheme="minorHAnsi"/>
          <w:sz w:val="22"/>
          <w:szCs w:val="22"/>
          <w:lang w:val="en-US" w:eastAsia="el-GR"/>
        </w:rPr>
        <w:t xml:space="preserve">Glickman, C. D., Gordon, S. P., &amp; Ross-Gordon, J. M. (2024). </w:t>
      </w:r>
      <w:proofErr w:type="spellStart"/>
      <w:r w:rsidRPr="00284256">
        <w:rPr>
          <w:rFonts w:asciiTheme="minorHAnsi" w:hAnsiTheme="minorHAnsi" w:cstheme="minorHAnsi"/>
          <w:i/>
          <w:iCs/>
          <w:sz w:val="22"/>
          <w:szCs w:val="22"/>
          <w:lang w:val="en-US" w:eastAsia="el-GR"/>
        </w:rPr>
        <w:t>SuperVision</w:t>
      </w:r>
      <w:proofErr w:type="spellEnd"/>
      <w:r w:rsidRPr="00284256">
        <w:rPr>
          <w:rFonts w:asciiTheme="minorHAnsi" w:hAnsiTheme="minorHAnsi" w:cstheme="minorHAnsi"/>
          <w:i/>
          <w:iCs/>
          <w:sz w:val="22"/>
          <w:szCs w:val="22"/>
          <w:lang w:val="en-US" w:eastAsia="el-GR"/>
        </w:rPr>
        <w:t xml:space="preserve"> and instructional leadership: A developmental approach</w:t>
      </w:r>
      <w:r w:rsidRPr="00284256">
        <w:rPr>
          <w:rFonts w:asciiTheme="minorHAnsi" w:hAnsiTheme="minorHAnsi" w:cstheme="minorHAnsi"/>
          <w:sz w:val="22"/>
          <w:szCs w:val="22"/>
          <w:lang w:val="en-US" w:eastAsia="el-GR"/>
        </w:rPr>
        <w:t xml:space="preserve"> (11th ed.). Pearson.</w:t>
      </w:r>
    </w:p>
    <w:p w14:paraId="33D213EA" w14:textId="77777777" w:rsidR="00EE1EC6" w:rsidRPr="00284256" w:rsidRDefault="00EE1EC6" w:rsidP="00EE1EC6">
      <w:pPr>
        <w:ind w:firstLine="284"/>
        <w:jc w:val="both"/>
        <w:rPr>
          <w:rFonts w:asciiTheme="minorHAnsi" w:hAnsiTheme="minorHAnsi" w:cstheme="minorHAnsi"/>
          <w:sz w:val="22"/>
          <w:szCs w:val="22"/>
          <w:lang w:val="en-US"/>
        </w:rPr>
      </w:pPr>
      <w:proofErr w:type="spellStart"/>
      <w:r w:rsidRPr="00284256">
        <w:rPr>
          <w:rFonts w:asciiTheme="minorHAnsi" w:hAnsiTheme="minorHAnsi" w:cstheme="minorHAnsi"/>
          <w:sz w:val="22"/>
          <w:szCs w:val="22"/>
          <w:lang w:val="en-US"/>
        </w:rPr>
        <w:t>Goldshaft</w:t>
      </w:r>
      <w:proofErr w:type="spellEnd"/>
      <w:r w:rsidRPr="00284256">
        <w:rPr>
          <w:rFonts w:asciiTheme="minorHAnsi" w:hAnsiTheme="minorHAnsi" w:cstheme="minorHAnsi"/>
          <w:sz w:val="22"/>
          <w:szCs w:val="22"/>
          <w:lang w:val="en-US"/>
        </w:rPr>
        <w:t xml:space="preserve">, B. (2024). Mentoring in practicum: supporting student teachers’ learning to notice with collaborative observational tools. </w:t>
      </w:r>
      <w:r w:rsidRPr="00284256">
        <w:rPr>
          <w:rFonts w:asciiTheme="minorHAnsi" w:hAnsiTheme="minorHAnsi" w:cstheme="minorHAnsi"/>
          <w:i/>
          <w:iCs/>
          <w:sz w:val="22"/>
          <w:szCs w:val="22"/>
          <w:lang w:val="en-US"/>
        </w:rPr>
        <w:t>Professional Development in Education</w:t>
      </w:r>
      <w:r w:rsidRPr="00284256">
        <w:rPr>
          <w:rFonts w:asciiTheme="minorHAnsi" w:hAnsiTheme="minorHAnsi" w:cstheme="minorHAnsi"/>
          <w:sz w:val="22"/>
          <w:szCs w:val="22"/>
          <w:lang w:val="en-US"/>
        </w:rPr>
        <w:t>, 1–20. https://doi.org/10.1080/19415257.2024.2441837</w:t>
      </w:r>
    </w:p>
    <w:p w14:paraId="1D52C9E8" w14:textId="4FDBED1A" w:rsidR="00EE1EC6" w:rsidRPr="00284256" w:rsidRDefault="00EE1EC6" w:rsidP="00EE1EC6">
      <w:pPr>
        <w:ind w:firstLine="284"/>
        <w:jc w:val="both"/>
        <w:rPr>
          <w:rFonts w:asciiTheme="minorHAnsi" w:hAnsiTheme="minorHAnsi" w:cstheme="minorHAnsi"/>
          <w:sz w:val="22"/>
          <w:szCs w:val="22"/>
          <w:lang w:val="en-US"/>
        </w:rPr>
      </w:pPr>
      <w:proofErr w:type="spellStart"/>
      <w:r w:rsidRPr="00284256">
        <w:rPr>
          <w:rFonts w:asciiTheme="minorHAnsi" w:hAnsiTheme="minorHAnsi" w:cstheme="minorHAnsi"/>
          <w:sz w:val="22"/>
          <w:szCs w:val="22"/>
          <w:lang w:val="en-US"/>
        </w:rPr>
        <w:t>Gourgiótou</w:t>
      </w:r>
      <w:proofErr w:type="spellEnd"/>
      <w:r w:rsidRPr="00284256">
        <w:rPr>
          <w:rFonts w:asciiTheme="minorHAnsi" w:hAnsiTheme="minorHAnsi" w:cstheme="minorHAnsi"/>
          <w:sz w:val="22"/>
          <w:szCs w:val="22"/>
          <w:lang w:val="en-US"/>
        </w:rPr>
        <w:t xml:space="preserve">, E., </w:t>
      </w:r>
      <w:proofErr w:type="spellStart"/>
      <w:r w:rsidRPr="00284256">
        <w:rPr>
          <w:rFonts w:asciiTheme="minorHAnsi" w:hAnsiTheme="minorHAnsi" w:cstheme="minorHAnsi"/>
          <w:sz w:val="22"/>
          <w:szCs w:val="22"/>
          <w:lang w:val="en-US"/>
        </w:rPr>
        <w:t>Kakana</w:t>
      </w:r>
      <w:proofErr w:type="spellEnd"/>
      <w:r w:rsidRPr="00284256">
        <w:rPr>
          <w:rFonts w:asciiTheme="minorHAnsi" w:hAnsiTheme="minorHAnsi" w:cstheme="minorHAnsi"/>
          <w:sz w:val="22"/>
          <w:szCs w:val="22"/>
          <w:lang w:val="en-US"/>
        </w:rPr>
        <w:t xml:space="preserve">, D., </w:t>
      </w:r>
      <w:proofErr w:type="spellStart"/>
      <w:r w:rsidRPr="00284256">
        <w:rPr>
          <w:rFonts w:asciiTheme="minorHAnsi" w:hAnsiTheme="minorHAnsi" w:cstheme="minorHAnsi"/>
          <w:sz w:val="22"/>
          <w:szCs w:val="22"/>
          <w:lang w:val="en-US"/>
        </w:rPr>
        <w:t>Birbili</w:t>
      </w:r>
      <w:proofErr w:type="spellEnd"/>
      <w:r w:rsidRPr="00284256">
        <w:rPr>
          <w:rFonts w:asciiTheme="minorHAnsi" w:hAnsiTheme="minorHAnsi" w:cstheme="minorHAnsi"/>
          <w:sz w:val="22"/>
          <w:szCs w:val="22"/>
          <w:lang w:val="en-US"/>
        </w:rPr>
        <w:t xml:space="preserve">, M., &amp; </w:t>
      </w:r>
      <w:proofErr w:type="spellStart"/>
      <w:r w:rsidRPr="00284256">
        <w:rPr>
          <w:rFonts w:asciiTheme="minorHAnsi" w:hAnsiTheme="minorHAnsi" w:cstheme="minorHAnsi"/>
          <w:sz w:val="22"/>
          <w:szCs w:val="22"/>
          <w:lang w:val="en-US"/>
        </w:rPr>
        <w:t>Chatzopoulou</w:t>
      </w:r>
      <w:proofErr w:type="spellEnd"/>
      <w:r w:rsidRPr="00284256">
        <w:rPr>
          <w:rFonts w:asciiTheme="minorHAnsi" w:hAnsiTheme="minorHAnsi" w:cstheme="minorHAnsi"/>
          <w:sz w:val="22"/>
          <w:szCs w:val="22"/>
          <w:lang w:val="en-US"/>
        </w:rPr>
        <w:t xml:space="preserve">, K. (2020). </w:t>
      </w:r>
      <w:r w:rsidRPr="00284256">
        <w:rPr>
          <w:rStyle w:val="Emphasis"/>
          <w:rFonts w:asciiTheme="minorHAnsi" w:hAnsiTheme="minorHAnsi" w:cstheme="minorHAnsi"/>
          <w:i w:val="0"/>
          <w:sz w:val="22"/>
          <w:szCs w:val="22"/>
          <w:lang w:val="en-US"/>
        </w:rPr>
        <w:t>Introduction: The Teaching Practicum Network of Early Childhood Education Departments—Ten years later</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Εισαγωγή</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Το</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Δίκτυο</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Πρακτικών</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Ασκήσεων</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των</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Παιδαγωγικών</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Τμημάτων</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Προσχολικής</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Εκπαίδευσης</w:t>
      </w:r>
      <w:r w:rsidRPr="00284256">
        <w:rPr>
          <w:rFonts w:asciiTheme="minorHAnsi" w:hAnsiTheme="minorHAnsi" w:cstheme="minorHAnsi"/>
          <w:sz w:val="22"/>
          <w:szCs w:val="22"/>
          <w:lang w:val="en-US"/>
        </w:rPr>
        <w:t xml:space="preserve">: 10 </w:t>
      </w:r>
      <w:r w:rsidRPr="00284256">
        <w:rPr>
          <w:rFonts w:asciiTheme="minorHAnsi" w:hAnsiTheme="minorHAnsi" w:cstheme="minorHAnsi"/>
          <w:sz w:val="22"/>
          <w:szCs w:val="22"/>
        </w:rPr>
        <w:t>χρόνια</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μετά</w:t>
      </w:r>
      <w:r w:rsidRPr="00284256">
        <w:rPr>
          <w:rFonts w:asciiTheme="minorHAnsi" w:hAnsiTheme="minorHAnsi" w:cstheme="minorHAnsi"/>
          <w:sz w:val="22"/>
          <w:szCs w:val="22"/>
          <w:lang w:val="en-US"/>
        </w:rPr>
        <w:t xml:space="preserve">]. In E. </w:t>
      </w:r>
      <w:proofErr w:type="spellStart"/>
      <w:r w:rsidRPr="00284256">
        <w:rPr>
          <w:rFonts w:asciiTheme="minorHAnsi" w:hAnsiTheme="minorHAnsi" w:cstheme="minorHAnsi"/>
          <w:sz w:val="22"/>
          <w:szCs w:val="22"/>
          <w:lang w:val="en-US"/>
        </w:rPr>
        <w:t>Gourgiótou</w:t>
      </w:r>
      <w:proofErr w:type="spellEnd"/>
      <w:r w:rsidRPr="00284256">
        <w:rPr>
          <w:rFonts w:asciiTheme="minorHAnsi" w:hAnsiTheme="minorHAnsi" w:cstheme="minorHAnsi"/>
          <w:sz w:val="22"/>
          <w:szCs w:val="22"/>
          <w:lang w:val="en-US"/>
        </w:rPr>
        <w:t xml:space="preserve">, D. </w:t>
      </w:r>
      <w:proofErr w:type="spellStart"/>
      <w:r w:rsidRPr="00284256">
        <w:rPr>
          <w:rFonts w:asciiTheme="minorHAnsi" w:hAnsiTheme="minorHAnsi" w:cstheme="minorHAnsi"/>
          <w:sz w:val="22"/>
          <w:szCs w:val="22"/>
          <w:lang w:val="en-US"/>
        </w:rPr>
        <w:t>Kakana</w:t>
      </w:r>
      <w:proofErr w:type="spellEnd"/>
      <w:r w:rsidRPr="00284256">
        <w:rPr>
          <w:rFonts w:asciiTheme="minorHAnsi" w:hAnsiTheme="minorHAnsi" w:cstheme="minorHAnsi"/>
          <w:sz w:val="22"/>
          <w:szCs w:val="22"/>
          <w:lang w:val="en-US"/>
        </w:rPr>
        <w:t xml:space="preserve">, M. </w:t>
      </w:r>
      <w:proofErr w:type="spellStart"/>
      <w:r w:rsidRPr="00284256">
        <w:rPr>
          <w:rFonts w:asciiTheme="minorHAnsi" w:hAnsiTheme="minorHAnsi" w:cstheme="minorHAnsi"/>
          <w:sz w:val="22"/>
          <w:szCs w:val="22"/>
          <w:lang w:val="en-US"/>
        </w:rPr>
        <w:t>Birbili</w:t>
      </w:r>
      <w:proofErr w:type="spellEnd"/>
      <w:r w:rsidRPr="00284256">
        <w:rPr>
          <w:rFonts w:asciiTheme="minorHAnsi" w:hAnsiTheme="minorHAnsi" w:cstheme="minorHAnsi"/>
          <w:sz w:val="22"/>
          <w:szCs w:val="22"/>
          <w:lang w:val="en-US"/>
        </w:rPr>
        <w:t xml:space="preserve">, &amp; K. </w:t>
      </w:r>
      <w:proofErr w:type="spellStart"/>
      <w:r w:rsidRPr="00284256">
        <w:rPr>
          <w:rFonts w:asciiTheme="minorHAnsi" w:hAnsiTheme="minorHAnsi" w:cstheme="minorHAnsi"/>
          <w:sz w:val="22"/>
          <w:szCs w:val="22"/>
          <w:lang w:val="en-US"/>
        </w:rPr>
        <w:t>Chatzopoulou</w:t>
      </w:r>
      <w:proofErr w:type="spellEnd"/>
      <w:r w:rsidRPr="00284256">
        <w:rPr>
          <w:rFonts w:asciiTheme="minorHAnsi" w:hAnsiTheme="minorHAnsi" w:cstheme="minorHAnsi"/>
          <w:sz w:val="22"/>
          <w:szCs w:val="22"/>
          <w:lang w:val="en-US"/>
        </w:rPr>
        <w:t xml:space="preserve"> (Eds.), </w:t>
      </w:r>
      <w:r w:rsidRPr="00284256">
        <w:rPr>
          <w:rStyle w:val="Emphasis"/>
          <w:rFonts w:asciiTheme="minorHAnsi" w:hAnsiTheme="minorHAnsi" w:cstheme="minorHAnsi"/>
          <w:sz w:val="22"/>
          <w:szCs w:val="22"/>
          <w:lang w:val="en-US"/>
        </w:rPr>
        <w:t>Teacher education and education departments: 30 years later—Addressing new challenges</w:t>
      </w:r>
      <w:r w:rsidRPr="00284256">
        <w:rPr>
          <w:rFonts w:asciiTheme="minorHAnsi" w:hAnsiTheme="minorHAnsi" w:cstheme="minorHAnsi"/>
          <w:sz w:val="22"/>
          <w:szCs w:val="22"/>
          <w:lang w:val="en-US"/>
        </w:rPr>
        <w:t xml:space="preserve"> </w:t>
      </w:r>
      <w:r w:rsidR="0078532F" w:rsidRPr="00284256">
        <w:rPr>
          <w:rFonts w:asciiTheme="minorHAnsi" w:hAnsiTheme="minorHAnsi" w:cstheme="minorHAnsi"/>
          <w:sz w:val="22"/>
          <w:szCs w:val="22"/>
          <w:lang w:val="en-US"/>
        </w:rPr>
        <w:t xml:space="preserve">(pp. 6–13). </w:t>
      </w:r>
      <w:r w:rsidRPr="00284256">
        <w:rPr>
          <w:rFonts w:asciiTheme="minorHAnsi" w:hAnsiTheme="minorHAnsi" w:cstheme="minorHAnsi"/>
          <w:sz w:val="22"/>
          <w:szCs w:val="22"/>
          <w:lang w:val="en-US"/>
        </w:rPr>
        <w:t xml:space="preserve">Proceedings of the 2nd Panhellenic Conference of the Teaching Practicum Network, Volos, </w:t>
      </w:r>
      <w:r w:rsidR="0078532F" w:rsidRPr="00284256">
        <w:rPr>
          <w:rFonts w:asciiTheme="minorHAnsi" w:hAnsiTheme="minorHAnsi" w:cstheme="minorHAnsi"/>
          <w:sz w:val="22"/>
          <w:szCs w:val="22"/>
          <w:lang w:val="en-US"/>
        </w:rPr>
        <w:t>Greece, September 28–30, 2018</w:t>
      </w:r>
      <w:r w:rsidRPr="00284256">
        <w:rPr>
          <w:rFonts w:asciiTheme="minorHAnsi" w:hAnsiTheme="minorHAnsi" w:cstheme="minorHAnsi"/>
          <w:sz w:val="22"/>
          <w:szCs w:val="22"/>
          <w:lang w:val="en-US"/>
        </w:rPr>
        <w:t>. University of Thessaly Press. https://press.uth.gr/wp-content/uploads/2020/08/ebook_praktika-2.pdf [In Greek]</w:t>
      </w:r>
    </w:p>
    <w:p w14:paraId="0C189137" w14:textId="77777777" w:rsidR="00EE1EC6" w:rsidRPr="00284256" w:rsidRDefault="00EE1EC6" w:rsidP="00EE1EC6">
      <w:pPr>
        <w:ind w:firstLine="284"/>
        <w:jc w:val="both"/>
        <w:rPr>
          <w:rFonts w:asciiTheme="minorHAnsi" w:hAnsiTheme="minorHAnsi" w:cstheme="minorHAnsi"/>
          <w:sz w:val="22"/>
          <w:szCs w:val="22"/>
          <w:lang w:val="en-US"/>
        </w:rPr>
      </w:pPr>
      <w:r w:rsidRPr="00284256">
        <w:rPr>
          <w:rFonts w:asciiTheme="minorHAnsi" w:hAnsiTheme="minorHAnsi" w:cstheme="minorHAnsi"/>
          <w:sz w:val="22"/>
          <w:szCs w:val="22"/>
          <w:lang w:val="en-US"/>
        </w:rPr>
        <w:t xml:space="preserve">Hattie, J., &amp; Timperley, H. (2007). The Power of Feedback. </w:t>
      </w:r>
      <w:r w:rsidRPr="00284256">
        <w:rPr>
          <w:rFonts w:asciiTheme="minorHAnsi" w:hAnsiTheme="minorHAnsi" w:cstheme="minorHAnsi"/>
          <w:i/>
          <w:iCs/>
          <w:sz w:val="22"/>
          <w:szCs w:val="22"/>
          <w:lang w:val="en-US"/>
        </w:rPr>
        <w:t>Review of Educational Research</w:t>
      </w:r>
      <w:r w:rsidRPr="00284256">
        <w:rPr>
          <w:rFonts w:asciiTheme="minorHAnsi" w:hAnsiTheme="minorHAnsi" w:cstheme="minorHAnsi"/>
          <w:sz w:val="22"/>
          <w:szCs w:val="22"/>
          <w:lang w:val="en-US"/>
        </w:rPr>
        <w:t xml:space="preserve">, </w:t>
      </w:r>
      <w:r w:rsidRPr="00284256">
        <w:rPr>
          <w:rFonts w:asciiTheme="minorHAnsi" w:hAnsiTheme="minorHAnsi" w:cstheme="minorHAnsi"/>
          <w:i/>
          <w:iCs/>
          <w:sz w:val="22"/>
          <w:szCs w:val="22"/>
          <w:lang w:val="en-US"/>
        </w:rPr>
        <w:t>77</w:t>
      </w:r>
      <w:r w:rsidRPr="00284256">
        <w:rPr>
          <w:rFonts w:asciiTheme="minorHAnsi" w:hAnsiTheme="minorHAnsi" w:cstheme="minorHAnsi"/>
          <w:sz w:val="22"/>
          <w:szCs w:val="22"/>
          <w:lang w:val="en-US"/>
        </w:rPr>
        <w:t xml:space="preserve">(1), 81-112. https://doi.org/10.3102/003465430298487 </w:t>
      </w:r>
    </w:p>
    <w:p w14:paraId="2587ACD8" w14:textId="77777777" w:rsidR="00EE1EC6" w:rsidRPr="00284256" w:rsidRDefault="00EE1EC6" w:rsidP="00EE1EC6">
      <w:pPr>
        <w:ind w:firstLine="284"/>
        <w:jc w:val="both"/>
        <w:rPr>
          <w:rFonts w:asciiTheme="minorHAnsi" w:hAnsiTheme="minorHAnsi" w:cstheme="minorHAnsi"/>
          <w:sz w:val="22"/>
          <w:szCs w:val="22"/>
          <w:shd w:val="clear" w:color="auto" w:fill="FFFFFF"/>
          <w:lang w:val="en-GB" w:eastAsia="el-GR"/>
        </w:rPr>
      </w:pPr>
      <w:r w:rsidRPr="00284256">
        <w:rPr>
          <w:rFonts w:asciiTheme="minorHAnsi" w:hAnsiTheme="minorHAnsi" w:cstheme="minorHAnsi"/>
          <w:sz w:val="22"/>
          <w:szCs w:val="22"/>
          <w:shd w:val="clear" w:color="auto" w:fill="FFFFFF"/>
          <w:lang w:val="en-GB" w:eastAsia="el-GR"/>
        </w:rPr>
        <w:t xml:space="preserve">Heinz, M. (2024). The practicum in initial teacher education – enduring challenges, evolving practices and future research directions. </w:t>
      </w:r>
      <w:r w:rsidRPr="00284256">
        <w:rPr>
          <w:rFonts w:asciiTheme="minorHAnsi" w:hAnsiTheme="minorHAnsi" w:cstheme="minorHAnsi"/>
          <w:i/>
          <w:iCs/>
          <w:sz w:val="22"/>
          <w:szCs w:val="22"/>
          <w:shd w:val="clear" w:color="auto" w:fill="FFFFFF"/>
          <w:lang w:val="en-GB" w:eastAsia="el-GR"/>
        </w:rPr>
        <w:t>European Journal of Teacher Education</w:t>
      </w:r>
      <w:r w:rsidRPr="00284256">
        <w:rPr>
          <w:rFonts w:asciiTheme="minorHAnsi" w:hAnsiTheme="minorHAnsi" w:cstheme="minorHAnsi"/>
          <w:sz w:val="22"/>
          <w:szCs w:val="22"/>
          <w:shd w:val="clear" w:color="auto" w:fill="FFFFFF"/>
          <w:lang w:val="en-GB" w:eastAsia="el-GR"/>
        </w:rPr>
        <w:t xml:space="preserve">, </w:t>
      </w:r>
      <w:r w:rsidRPr="00284256">
        <w:rPr>
          <w:rFonts w:asciiTheme="minorHAnsi" w:hAnsiTheme="minorHAnsi" w:cstheme="minorHAnsi"/>
          <w:i/>
          <w:iCs/>
          <w:sz w:val="22"/>
          <w:szCs w:val="22"/>
          <w:shd w:val="clear" w:color="auto" w:fill="FFFFFF"/>
          <w:lang w:val="en-GB" w:eastAsia="el-GR"/>
        </w:rPr>
        <w:t>47</w:t>
      </w:r>
      <w:r w:rsidRPr="00284256">
        <w:rPr>
          <w:rFonts w:asciiTheme="minorHAnsi" w:hAnsiTheme="minorHAnsi" w:cstheme="minorHAnsi"/>
          <w:sz w:val="22"/>
          <w:szCs w:val="22"/>
          <w:shd w:val="clear" w:color="auto" w:fill="FFFFFF"/>
          <w:lang w:val="en-GB" w:eastAsia="el-GR"/>
        </w:rPr>
        <w:t>(5), 865–875. https://doi.org/10.1080/02619768.2024.2428031</w:t>
      </w:r>
    </w:p>
    <w:p w14:paraId="60FEA758" w14:textId="77777777" w:rsidR="00EE1EC6" w:rsidRPr="00284256" w:rsidRDefault="00EE1EC6" w:rsidP="00EE1EC6">
      <w:pPr>
        <w:ind w:firstLine="284"/>
        <w:jc w:val="both"/>
        <w:rPr>
          <w:rFonts w:asciiTheme="minorHAnsi" w:hAnsiTheme="minorHAnsi" w:cstheme="minorHAnsi"/>
          <w:sz w:val="22"/>
          <w:szCs w:val="22"/>
          <w:lang w:val="en-GB" w:eastAsia="el-GR"/>
        </w:rPr>
      </w:pPr>
      <w:r w:rsidRPr="00284256">
        <w:rPr>
          <w:rFonts w:asciiTheme="minorHAnsi" w:hAnsiTheme="minorHAnsi" w:cstheme="minorHAnsi"/>
          <w:sz w:val="22"/>
          <w:szCs w:val="22"/>
          <w:lang w:val="en-GB" w:eastAsia="el-GR"/>
        </w:rPr>
        <w:t xml:space="preserve">Hobson, A. J., Ashby, P., </w:t>
      </w:r>
      <w:proofErr w:type="spellStart"/>
      <w:r w:rsidRPr="00284256">
        <w:rPr>
          <w:rFonts w:asciiTheme="minorHAnsi" w:hAnsiTheme="minorHAnsi" w:cstheme="minorHAnsi"/>
          <w:sz w:val="22"/>
          <w:szCs w:val="22"/>
          <w:lang w:val="en-GB" w:eastAsia="el-GR"/>
        </w:rPr>
        <w:t>Malderez</w:t>
      </w:r>
      <w:proofErr w:type="spellEnd"/>
      <w:r w:rsidRPr="00284256">
        <w:rPr>
          <w:rFonts w:asciiTheme="minorHAnsi" w:hAnsiTheme="minorHAnsi" w:cstheme="minorHAnsi"/>
          <w:sz w:val="22"/>
          <w:szCs w:val="22"/>
          <w:lang w:val="en-GB" w:eastAsia="el-GR"/>
        </w:rPr>
        <w:t xml:space="preserve">, A., &amp; Tomlinson, P. D. (2009). Mentoring beginning teachers: What we know and what we don’t. </w:t>
      </w:r>
      <w:r w:rsidRPr="00284256">
        <w:rPr>
          <w:rFonts w:asciiTheme="minorHAnsi" w:hAnsiTheme="minorHAnsi" w:cstheme="minorHAnsi"/>
          <w:i/>
          <w:iCs/>
          <w:sz w:val="22"/>
          <w:szCs w:val="22"/>
          <w:lang w:val="en-GB" w:eastAsia="el-GR"/>
        </w:rPr>
        <w:t>Teaching and Teacher Education</w:t>
      </w:r>
      <w:r w:rsidRPr="00284256">
        <w:rPr>
          <w:rFonts w:asciiTheme="minorHAnsi" w:hAnsiTheme="minorHAnsi" w:cstheme="minorHAnsi"/>
          <w:sz w:val="22"/>
          <w:szCs w:val="22"/>
          <w:lang w:val="en-GB" w:eastAsia="el-GR"/>
        </w:rPr>
        <w:t xml:space="preserve">, </w:t>
      </w:r>
      <w:r w:rsidRPr="00284256">
        <w:rPr>
          <w:rFonts w:asciiTheme="minorHAnsi" w:hAnsiTheme="minorHAnsi" w:cstheme="minorHAnsi"/>
          <w:i/>
          <w:iCs/>
          <w:sz w:val="22"/>
          <w:szCs w:val="22"/>
          <w:lang w:val="en-GB" w:eastAsia="el-GR"/>
        </w:rPr>
        <w:t>25</w:t>
      </w:r>
      <w:r w:rsidRPr="00284256">
        <w:rPr>
          <w:rFonts w:asciiTheme="minorHAnsi" w:hAnsiTheme="minorHAnsi" w:cstheme="minorHAnsi"/>
          <w:sz w:val="22"/>
          <w:szCs w:val="22"/>
          <w:lang w:val="en-GB" w:eastAsia="el-GR"/>
        </w:rPr>
        <w:t>(1), 207–216. https://doi.org/10.1016/j.tate.2008.09.001</w:t>
      </w:r>
    </w:p>
    <w:p w14:paraId="2466C2BF" w14:textId="77777777" w:rsidR="00EE1EC6" w:rsidRPr="00284256" w:rsidRDefault="00EE1EC6" w:rsidP="00EE1EC6">
      <w:pPr>
        <w:ind w:firstLine="284"/>
        <w:jc w:val="both"/>
        <w:rPr>
          <w:rFonts w:asciiTheme="minorHAnsi" w:hAnsiTheme="minorHAnsi" w:cstheme="minorHAnsi"/>
          <w:sz w:val="22"/>
          <w:szCs w:val="22"/>
          <w:lang w:val="en-US" w:eastAsia="el-GR"/>
        </w:rPr>
      </w:pPr>
      <w:r w:rsidRPr="00284256">
        <w:rPr>
          <w:rFonts w:asciiTheme="minorHAnsi" w:hAnsiTheme="minorHAnsi" w:cstheme="minorHAnsi"/>
          <w:sz w:val="22"/>
          <w:szCs w:val="22"/>
          <w:lang w:val="en-US" w:eastAsia="el-GR"/>
        </w:rPr>
        <w:t xml:space="preserve">Hudson, P. (2016). Forming the mentor–mentee relationship. </w:t>
      </w:r>
      <w:r w:rsidRPr="00284256">
        <w:rPr>
          <w:rFonts w:asciiTheme="minorHAnsi" w:eastAsiaTheme="majorEastAsia" w:hAnsiTheme="minorHAnsi" w:cstheme="minorHAnsi"/>
          <w:i/>
          <w:iCs/>
          <w:sz w:val="22"/>
          <w:szCs w:val="22"/>
          <w:lang w:val="en-US" w:eastAsia="el-GR"/>
        </w:rPr>
        <w:t>Mentoring &amp; Tutoring: Partnership in Learning, 24</w:t>
      </w:r>
      <w:r w:rsidRPr="00284256">
        <w:rPr>
          <w:rFonts w:asciiTheme="minorHAnsi" w:hAnsiTheme="minorHAnsi" w:cstheme="minorHAnsi"/>
          <w:sz w:val="22"/>
          <w:szCs w:val="22"/>
          <w:lang w:val="en-US" w:eastAsia="el-GR"/>
        </w:rPr>
        <w:t xml:space="preserve">(1), 30–43. https://doi.org/10.1080/13611267.2016.1163637 </w:t>
      </w:r>
    </w:p>
    <w:p w14:paraId="1549E2D2" w14:textId="77777777" w:rsidR="00EE1EC6" w:rsidRPr="00284256" w:rsidRDefault="00EE1EC6" w:rsidP="00EE1EC6">
      <w:pPr>
        <w:ind w:firstLine="284"/>
        <w:jc w:val="both"/>
        <w:rPr>
          <w:rFonts w:asciiTheme="minorHAnsi" w:hAnsiTheme="minorHAnsi" w:cstheme="minorHAnsi"/>
          <w:sz w:val="22"/>
          <w:szCs w:val="22"/>
          <w:lang w:val="en-US" w:eastAsia="el-GR"/>
        </w:rPr>
      </w:pPr>
      <w:proofErr w:type="spellStart"/>
      <w:r w:rsidRPr="00284256">
        <w:rPr>
          <w:rFonts w:asciiTheme="minorHAnsi" w:hAnsiTheme="minorHAnsi" w:cstheme="minorHAnsi"/>
          <w:sz w:val="22"/>
          <w:szCs w:val="22"/>
          <w:lang w:val="en-US" w:eastAsia="el-GR"/>
        </w:rPr>
        <w:t>Hunskaar</w:t>
      </w:r>
      <w:proofErr w:type="spellEnd"/>
      <w:r w:rsidRPr="00284256">
        <w:rPr>
          <w:rFonts w:asciiTheme="minorHAnsi" w:hAnsiTheme="minorHAnsi" w:cstheme="minorHAnsi"/>
          <w:sz w:val="22"/>
          <w:szCs w:val="22"/>
          <w:lang w:val="en-US" w:eastAsia="el-GR"/>
        </w:rPr>
        <w:t xml:space="preserve">, T. S., </w:t>
      </w:r>
      <w:proofErr w:type="spellStart"/>
      <w:r w:rsidRPr="00284256">
        <w:rPr>
          <w:rFonts w:asciiTheme="minorHAnsi" w:hAnsiTheme="minorHAnsi" w:cstheme="minorHAnsi"/>
          <w:sz w:val="22"/>
          <w:szCs w:val="22"/>
          <w:lang w:val="en-US" w:eastAsia="el-GR"/>
        </w:rPr>
        <w:t>Lejonberg</w:t>
      </w:r>
      <w:proofErr w:type="spellEnd"/>
      <w:r w:rsidRPr="00284256">
        <w:rPr>
          <w:rFonts w:asciiTheme="minorHAnsi" w:hAnsiTheme="minorHAnsi" w:cstheme="minorHAnsi"/>
          <w:sz w:val="22"/>
          <w:szCs w:val="22"/>
          <w:lang w:val="en-US" w:eastAsia="el-GR"/>
        </w:rPr>
        <w:t xml:space="preserve">, E., &amp; </w:t>
      </w:r>
      <w:proofErr w:type="spellStart"/>
      <w:r w:rsidRPr="00284256">
        <w:rPr>
          <w:rFonts w:asciiTheme="minorHAnsi" w:hAnsiTheme="minorHAnsi" w:cstheme="minorHAnsi"/>
          <w:sz w:val="22"/>
          <w:szCs w:val="22"/>
          <w:lang w:val="en-US" w:eastAsia="el-GR"/>
        </w:rPr>
        <w:t>Nesje</w:t>
      </w:r>
      <w:proofErr w:type="spellEnd"/>
      <w:r w:rsidRPr="00284256">
        <w:rPr>
          <w:rFonts w:asciiTheme="minorHAnsi" w:hAnsiTheme="minorHAnsi" w:cstheme="minorHAnsi"/>
          <w:sz w:val="22"/>
          <w:szCs w:val="22"/>
          <w:lang w:val="en-US" w:eastAsia="el-GR"/>
        </w:rPr>
        <w:t xml:space="preserve">, K. (2025). Identifying mentee roles in tool-based practicum mentoring. </w:t>
      </w:r>
      <w:r w:rsidRPr="00284256">
        <w:rPr>
          <w:rFonts w:asciiTheme="minorHAnsi" w:hAnsiTheme="minorHAnsi" w:cstheme="minorHAnsi"/>
          <w:i/>
          <w:iCs/>
          <w:sz w:val="22"/>
          <w:szCs w:val="22"/>
          <w:lang w:val="en-US" w:eastAsia="el-GR"/>
        </w:rPr>
        <w:t>Mentoring &amp; Tutoring: Partnership in Learning</w:t>
      </w:r>
      <w:r w:rsidRPr="00284256">
        <w:rPr>
          <w:rFonts w:asciiTheme="minorHAnsi" w:hAnsiTheme="minorHAnsi" w:cstheme="minorHAnsi"/>
          <w:sz w:val="22"/>
          <w:szCs w:val="22"/>
          <w:lang w:val="en-US" w:eastAsia="el-GR"/>
        </w:rPr>
        <w:t xml:space="preserve">, </w:t>
      </w:r>
      <w:r w:rsidRPr="00284256">
        <w:rPr>
          <w:rFonts w:asciiTheme="minorHAnsi" w:hAnsiTheme="minorHAnsi" w:cstheme="minorHAnsi"/>
          <w:i/>
          <w:iCs/>
          <w:sz w:val="22"/>
          <w:szCs w:val="22"/>
          <w:lang w:val="en-US" w:eastAsia="el-GR"/>
        </w:rPr>
        <w:t>33</w:t>
      </w:r>
      <w:r w:rsidRPr="00284256">
        <w:rPr>
          <w:rFonts w:asciiTheme="minorHAnsi" w:hAnsiTheme="minorHAnsi" w:cstheme="minorHAnsi"/>
          <w:sz w:val="22"/>
          <w:szCs w:val="22"/>
          <w:lang w:val="en-US" w:eastAsia="el-GR"/>
        </w:rPr>
        <w:t>(3), 294–316. https://doi.org/10.1080/13611267.2025.2471992</w:t>
      </w:r>
    </w:p>
    <w:p w14:paraId="4E8F4610" w14:textId="77777777" w:rsidR="00EE1EC6" w:rsidRPr="00284256" w:rsidRDefault="00EE1EC6" w:rsidP="00EE1EC6">
      <w:pPr>
        <w:ind w:firstLine="284"/>
        <w:jc w:val="both"/>
        <w:rPr>
          <w:rFonts w:asciiTheme="minorHAnsi" w:hAnsiTheme="minorHAnsi" w:cstheme="minorHAnsi"/>
          <w:sz w:val="22"/>
          <w:szCs w:val="22"/>
          <w:lang w:val="en-US" w:eastAsia="el-GR"/>
        </w:rPr>
      </w:pPr>
      <w:r w:rsidRPr="00284256">
        <w:rPr>
          <w:rFonts w:asciiTheme="minorHAnsi" w:hAnsiTheme="minorHAnsi" w:cstheme="minorHAnsi"/>
          <w:sz w:val="22"/>
          <w:szCs w:val="22"/>
          <w:lang w:val="en-US" w:eastAsia="el-GR"/>
        </w:rPr>
        <w:t xml:space="preserve">Jay, J. K., &amp; Johnson, K. L. (2002). Capturing complexity: a typology of reflective practice for teacher education. </w:t>
      </w:r>
      <w:r w:rsidRPr="00284256">
        <w:rPr>
          <w:rFonts w:asciiTheme="minorHAnsi" w:hAnsiTheme="minorHAnsi" w:cstheme="minorHAnsi"/>
          <w:i/>
          <w:sz w:val="22"/>
          <w:szCs w:val="22"/>
          <w:lang w:val="en-US" w:eastAsia="el-GR"/>
        </w:rPr>
        <w:t>Teaching and Teacher Education, 18</w:t>
      </w:r>
      <w:r w:rsidRPr="00284256">
        <w:rPr>
          <w:rFonts w:asciiTheme="minorHAnsi" w:hAnsiTheme="minorHAnsi" w:cstheme="minorHAnsi"/>
          <w:sz w:val="22"/>
          <w:szCs w:val="22"/>
          <w:lang w:val="en-US" w:eastAsia="el-GR"/>
        </w:rPr>
        <w:t>(1), 73–85. https://doi.org/10.1016/s0742-051x(01)00051-8</w:t>
      </w:r>
    </w:p>
    <w:p w14:paraId="697FC15B" w14:textId="77777777" w:rsidR="00EE1EC6" w:rsidRPr="00284256" w:rsidRDefault="00EE1EC6" w:rsidP="00EE1EC6">
      <w:pPr>
        <w:ind w:firstLine="284"/>
        <w:jc w:val="both"/>
        <w:rPr>
          <w:rFonts w:asciiTheme="minorHAnsi" w:hAnsiTheme="minorHAnsi" w:cstheme="minorHAnsi"/>
          <w:sz w:val="22"/>
          <w:szCs w:val="22"/>
          <w:lang w:val="en-GB" w:eastAsia="el-GR"/>
        </w:rPr>
      </w:pPr>
      <w:proofErr w:type="spellStart"/>
      <w:r w:rsidRPr="00284256">
        <w:rPr>
          <w:rFonts w:asciiTheme="minorHAnsi" w:hAnsiTheme="minorHAnsi" w:cstheme="minorHAnsi"/>
          <w:sz w:val="22"/>
          <w:szCs w:val="22"/>
          <w:lang w:val="en-GB" w:eastAsia="el-GR"/>
        </w:rPr>
        <w:lastRenderedPageBreak/>
        <w:t>Kalsoom</w:t>
      </w:r>
      <w:proofErr w:type="spellEnd"/>
      <w:r w:rsidRPr="00284256">
        <w:rPr>
          <w:rFonts w:asciiTheme="minorHAnsi" w:hAnsiTheme="minorHAnsi" w:cstheme="minorHAnsi"/>
          <w:sz w:val="22"/>
          <w:szCs w:val="22"/>
          <w:lang w:val="en-GB" w:eastAsia="el-GR"/>
        </w:rPr>
        <w:t xml:space="preserve">, T., </w:t>
      </w:r>
      <w:proofErr w:type="spellStart"/>
      <w:r w:rsidRPr="00284256">
        <w:rPr>
          <w:rFonts w:asciiTheme="minorHAnsi" w:hAnsiTheme="minorHAnsi" w:cstheme="minorHAnsi"/>
          <w:sz w:val="22"/>
          <w:szCs w:val="22"/>
          <w:lang w:val="en-GB" w:eastAsia="el-GR"/>
        </w:rPr>
        <w:t>Showunmi</w:t>
      </w:r>
      <w:proofErr w:type="spellEnd"/>
      <w:r w:rsidRPr="00284256">
        <w:rPr>
          <w:rFonts w:asciiTheme="minorHAnsi" w:hAnsiTheme="minorHAnsi" w:cstheme="minorHAnsi"/>
          <w:sz w:val="22"/>
          <w:szCs w:val="22"/>
          <w:lang w:val="en-GB" w:eastAsia="el-GR"/>
        </w:rPr>
        <w:t xml:space="preserve">, V., &amp; </w:t>
      </w:r>
      <w:proofErr w:type="spellStart"/>
      <w:r w:rsidRPr="00284256">
        <w:rPr>
          <w:rFonts w:asciiTheme="minorHAnsi" w:hAnsiTheme="minorHAnsi" w:cstheme="minorHAnsi"/>
          <w:sz w:val="22"/>
          <w:szCs w:val="22"/>
          <w:lang w:val="en-GB" w:eastAsia="el-GR"/>
        </w:rPr>
        <w:t>Ibrar</w:t>
      </w:r>
      <w:proofErr w:type="spellEnd"/>
      <w:r w:rsidRPr="00284256">
        <w:rPr>
          <w:rFonts w:asciiTheme="minorHAnsi" w:hAnsiTheme="minorHAnsi" w:cstheme="minorHAnsi"/>
          <w:sz w:val="22"/>
          <w:szCs w:val="22"/>
          <w:lang w:val="en-GB" w:eastAsia="el-GR"/>
        </w:rPr>
        <w:t xml:space="preserve">, I. (2019). A Systematic Literature Review on the Role of Mentoring and Feedback in Improvement of Teaching Practicum. </w:t>
      </w:r>
      <w:proofErr w:type="spellStart"/>
      <w:r w:rsidRPr="00284256">
        <w:rPr>
          <w:rFonts w:asciiTheme="minorHAnsi" w:hAnsiTheme="minorHAnsi" w:cstheme="minorHAnsi"/>
          <w:i/>
          <w:iCs/>
          <w:sz w:val="22"/>
          <w:szCs w:val="22"/>
          <w:lang w:val="en-GB" w:eastAsia="el-GR"/>
        </w:rPr>
        <w:t>Sjesr</w:t>
      </w:r>
      <w:proofErr w:type="spellEnd"/>
      <w:r w:rsidRPr="00284256">
        <w:rPr>
          <w:rFonts w:asciiTheme="minorHAnsi" w:hAnsiTheme="minorHAnsi" w:cstheme="minorHAnsi"/>
          <w:sz w:val="22"/>
          <w:szCs w:val="22"/>
          <w:lang w:val="en-GB" w:eastAsia="el-GR"/>
        </w:rPr>
        <w:t>,</w:t>
      </w:r>
      <w:r w:rsidRPr="00284256">
        <w:rPr>
          <w:rFonts w:asciiTheme="minorHAnsi" w:hAnsiTheme="minorHAnsi" w:cstheme="minorHAnsi"/>
          <w:sz w:val="22"/>
          <w:szCs w:val="22"/>
          <w:lang w:val="en-US" w:eastAsia="el-GR"/>
        </w:rPr>
        <w:t xml:space="preserve"> </w:t>
      </w:r>
      <w:r w:rsidRPr="00284256">
        <w:rPr>
          <w:rFonts w:asciiTheme="minorHAnsi" w:hAnsiTheme="minorHAnsi" w:cstheme="minorHAnsi"/>
          <w:i/>
          <w:iCs/>
          <w:sz w:val="22"/>
          <w:szCs w:val="22"/>
          <w:lang w:val="en-GB" w:eastAsia="el-GR"/>
        </w:rPr>
        <w:t>2</w:t>
      </w:r>
      <w:r w:rsidRPr="00284256">
        <w:rPr>
          <w:rFonts w:asciiTheme="minorHAnsi" w:hAnsiTheme="minorHAnsi" w:cstheme="minorHAnsi"/>
          <w:sz w:val="22"/>
          <w:szCs w:val="22"/>
          <w:lang w:val="en-GB" w:eastAsia="el-GR"/>
        </w:rPr>
        <w:t>(2), 20-32. https://doi.org/10.36902/sjesr-vol2-iss2-2019(20-32)</w:t>
      </w:r>
    </w:p>
    <w:p w14:paraId="6529AF53" w14:textId="77777777" w:rsidR="00EE1EC6" w:rsidRPr="00284256" w:rsidRDefault="00EE1EC6" w:rsidP="00EE1EC6">
      <w:pPr>
        <w:ind w:firstLine="284"/>
        <w:jc w:val="both"/>
        <w:rPr>
          <w:rFonts w:asciiTheme="minorHAnsi" w:hAnsiTheme="minorHAnsi" w:cstheme="minorHAnsi"/>
          <w:sz w:val="22"/>
          <w:szCs w:val="22"/>
          <w:lang w:val="en-US"/>
        </w:rPr>
      </w:pPr>
      <w:proofErr w:type="spellStart"/>
      <w:r w:rsidRPr="00284256">
        <w:rPr>
          <w:rFonts w:asciiTheme="minorHAnsi" w:hAnsiTheme="minorHAnsi" w:cstheme="minorHAnsi"/>
          <w:sz w:val="22"/>
          <w:szCs w:val="22"/>
          <w:lang w:val="en-GB"/>
        </w:rPr>
        <w:t>Kyridis</w:t>
      </w:r>
      <w:proofErr w:type="spellEnd"/>
      <w:r w:rsidRPr="00284256">
        <w:rPr>
          <w:rFonts w:asciiTheme="minorHAnsi" w:hAnsiTheme="minorHAnsi" w:cstheme="minorHAnsi"/>
          <w:sz w:val="22"/>
          <w:szCs w:val="22"/>
          <w:lang w:val="en-GB"/>
        </w:rPr>
        <w:t xml:space="preserve">, A. (2023). </w:t>
      </w:r>
      <w:r w:rsidRPr="00284256">
        <w:rPr>
          <w:rStyle w:val="Emphasis"/>
          <w:rFonts w:asciiTheme="minorHAnsi" w:hAnsiTheme="minorHAnsi" w:cstheme="minorHAnsi"/>
          <w:sz w:val="22"/>
          <w:szCs w:val="22"/>
          <w:lang w:val="en-GB"/>
        </w:rPr>
        <w:t>The teaching practicum in Greek higher education: Student attitudes and the connection between practicum and the labour market</w:t>
      </w:r>
      <w:r w:rsidRPr="00284256">
        <w:rPr>
          <w:rFonts w:asciiTheme="minorHAnsi" w:hAnsiTheme="minorHAnsi" w:cstheme="minorHAnsi"/>
          <w:sz w:val="22"/>
          <w:szCs w:val="22"/>
          <w:lang w:val="en-GB"/>
        </w:rPr>
        <w:t xml:space="preserve"> [</w:t>
      </w:r>
      <w:r w:rsidRPr="00284256">
        <w:rPr>
          <w:rFonts w:asciiTheme="minorHAnsi" w:hAnsiTheme="minorHAnsi" w:cstheme="minorHAnsi"/>
          <w:sz w:val="22"/>
          <w:szCs w:val="22"/>
        </w:rPr>
        <w:t>Η</w:t>
      </w:r>
      <w:r w:rsidRPr="00284256">
        <w:rPr>
          <w:rFonts w:asciiTheme="minorHAnsi" w:hAnsiTheme="minorHAnsi" w:cstheme="minorHAnsi"/>
          <w:sz w:val="22"/>
          <w:szCs w:val="22"/>
          <w:lang w:val="en-GB"/>
        </w:rPr>
        <w:t xml:space="preserve"> </w:t>
      </w:r>
      <w:r w:rsidRPr="00284256">
        <w:rPr>
          <w:rFonts w:asciiTheme="minorHAnsi" w:hAnsiTheme="minorHAnsi" w:cstheme="minorHAnsi"/>
          <w:sz w:val="22"/>
          <w:szCs w:val="22"/>
        </w:rPr>
        <w:t>Πρακτική</w:t>
      </w:r>
      <w:r w:rsidRPr="00284256">
        <w:rPr>
          <w:rFonts w:asciiTheme="minorHAnsi" w:hAnsiTheme="minorHAnsi" w:cstheme="minorHAnsi"/>
          <w:sz w:val="22"/>
          <w:szCs w:val="22"/>
          <w:lang w:val="en-GB"/>
        </w:rPr>
        <w:t xml:space="preserve"> </w:t>
      </w:r>
      <w:r w:rsidRPr="00284256">
        <w:rPr>
          <w:rFonts w:asciiTheme="minorHAnsi" w:hAnsiTheme="minorHAnsi" w:cstheme="minorHAnsi"/>
          <w:sz w:val="22"/>
          <w:szCs w:val="22"/>
        </w:rPr>
        <w:t>Άσκηση</w:t>
      </w:r>
      <w:r w:rsidRPr="00284256">
        <w:rPr>
          <w:rFonts w:asciiTheme="minorHAnsi" w:hAnsiTheme="minorHAnsi" w:cstheme="minorHAnsi"/>
          <w:sz w:val="22"/>
          <w:szCs w:val="22"/>
          <w:lang w:val="en-GB"/>
        </w:rPr>
        <w:t xml:space="preserve"> </w:t>
      </w:r>
      <w:r w:rsidRPr="00284256">
        <w:rPr>
          <w:rFonts w:asciiTheme="minorHAnsi" w:hAnsiTheme="minorHAnsi" w:cstheme="minorHAnsi"/>
          <w:sz w:val="22"/>
          <w:szCs w:val="22"/>
        </w:rPr>
        <w:t>στην</w:t>
      </w:r>
      <w:r w:rsidRPr="00284256">
        <w:rPr>
          <w:rFonts w:asciiTheme="minorHAnsi" w:hAnsiTheme="minorHAnsi" w:cstheme="minorHAnsi"/>
          <w:sz w:val="22"/>
          <w:szCs w:val="22"/>
          <w:lang w:val="en-GB"/>
        </w:rPr>
        <w:t xml:space="preserve"> </w:t>
      </w:r>
      <w:r w:rsidRPr="00284256">
        <w:rPr>
          <w:rFonts w:asciiTheme="minorHAnsi" w:hAnsiTheme="minorHAnsi" w:cstheme="minorHAnsi"/>
          <w:sz w:val="22"/>
          <w:szCs w:val="22"/>
        </w:rPr>
        <w:t>ελληνική</w:t>
      </w:r>
      <w:r w:rsidRPr="00284256">
        <w:rPr>
          <w:rFonts w:asciiTheme="minorHAnsi" w:hAnsiTheme="minorHAnsi" w:cstheme="minorHAnsi"/>
          <w:sz w:val="22"/>
          <w:szCs w:val="22"/>
          <w:lang w:val="en-GB"/>
        </w:rPr>
        <w:t xml:space="preserve"> </w:t>
      </w:r>
      <w:r w:rsidRPr="00284256">
        <w:rPr>
          <w:rFonts w:asciiTheme="minorHAnsi" w:hAnsiTheme="minorHAnsi" w:cstheme="minorHAnsi"/>
          <w:sz w:val="22"/>
          <w:szCs w:val="22"/>
        </w:rPr>
        <w:t>τριτοβάθμια</w:t>
      </w:r>
      <w:r w:rsidRPr="00284256">
        <w:rPr>
          <w:rFonts w:asciiTheme="minorHAnsi" w:hAnsiTheme="minorHAnsi" w:cstheme="minorHAnsi"/>
          <w:sz w:val="22"/>
          <w:szCs w:val="22"/>
          <w:lang w:val="en-GB"/>
        </w:rPr>
        <w:t xml:space="preserve"> </w:t>
      </w:r>
      <w:r w:rsidRPr="00284256">
        <w:rPr>
          <w:rFonts w:asciiTheme="minorHAnsi" w:hAnsiTheme="minorHAnsi" w:cstheme="minorHAnsi"/>
          <w:sz w:val="22"/>
          <w:szCs w:val="22"/>
        </w:rPr>
        <w:t>εκπαίδευση</w:t>
      </w:r>
      <w:r w:rsidRPr="00284256">
        <w:rPr>
          <w:rFonts w:asciiTheme="minorHAnsi" w:hAnsiTheme="minorHAnsi" w:cstheme="minorHAnsi"/>
          <w:sz w:val="22"/>
          <w:szCs w:val="22"/>
          <w:lang w:val="en-GB"/>
        </w:rPr>
        <w:t xml:space="preserve">: </w:t>
      </w:r>
      <w:r w:rsidRPr="00284256">
        <w:rPr>
          <w:rFonts w:asciiTheme="minorHAnsi" w:hAnsiTheme="minorHAnsi" w:cstheme="minorHAnsi"/>
          <w:sz w:val="22"/>
          <w:szCs w:val="22"/>
        </w:rPr>
        <w:t>Στάσεις</w:t>
      </w:r>
      <w:r w:rsidRPr="00284256">
        <w:rPr>
          <w:rFonts w:asciiTheme="minorHAnsi" w:hAnsiTheme="minorHAnsi" w:cstheme="minorHAnsi"/>
          <w:sz w:val="22"/>
          <w:szCs w:val="22"/>
          <w:lang w:val="en-GB"/>
        </w:rPr>
        <w:t xml:space="preserve"> </w:t>
      </w:r>
      <w:r w:rsidRPr="00284256">
        <w:rPr>
          <w:rFonts w:asciiTheme="minorHAnsi" w:hAnsiTheme="minorHAnsi" w:cstheme="minorHAnsi"/>
          <w:sz w:val="22"/>
          <w:szCs w:val="22"/>
        </w:rPr>
        <w:t>και</w:t>
      </w:r>
      <w:r w:rsidRPr="00284256">
        <w:rPr>
          <w:rFonts w:asciiTheme="minorHAnsi" w:hAnsiTheme="minorHAnsi" w:cstheme="minorHAnsi"/>
          <w:sz w:val="22"/>
          <w:szCs w:val="22"/>
          <w:lang w:val="en-GB"/>
        </w:rPr>
        <w:t xml:space="preserve"> </w:t>
      </w:r>
      <w:r w:rsidRPr="00284256">
        <w:rPr>
          <w:rFonts w:asciiTheme="minorHAnsi" w:hAnsiTheme="minorHAnsi" w:cstheme="minorHAnsi"/>
          <w:sz w:val="22"/>
          <w:szCs w:val="22"/>
        </w:rPr>
        <w:t>αντιλήψεις</w:t>
      </w:r>
      <w:r w:rsidRPr="00284256">
        <w:rPr>
          <w:rFonts w:asciiTheme="minorHAnsi" w:hAnsiTheme="minorHAnsi" w:cstheme="minorHAnsi"/>
          <w:sz w:val="22"/>
          <w:szCs w:val="22"/>
          <w:lang w:val="en-GB"/>
        </w:rPr>
        <w:t xml:space="preserve"> </w:t>
      </w:r>
      <w:r w:rsidRPr="00284256">
        <w:rPr>
          <w:rFonts w:asciiTheme="minorHAnsi" w:hAnsiTheme="minorHAnsi" w:cstheme="minorHAnsi"/>
          <w:sz w:val="22"/>
          <w:szCs w:val="22"/>
        </w:rPr>
        <w:t>φοιτητικού</w:t>
      </w:r>
      <w:r w:rsidRPr="00284256">
        <w:rPr>
          <w:rFonts w:asciiTheme="minorHAnsi" w:hAnsiTheme="minorHAnsi" w:cstheme="minorHAnsi"/>
          <w:sz w:val="22"/>
          <w:szCs w:val="22"/>
          <w:lang w:val="en-GB"/>
        </w:rPr>
        <w:t xml:space="preserve"> </w:t>
      </w:r>
      <w:r w:rsidRPr="00284256">
        <w:rPr>
          <w:rFonts w:asciiTheme="minorHAnsi" w:hAnsiTheme="minorHAnsi" w:cstheme="minorHAnsi"/>
          <w:sz w:val="22"/>
          <w:szCs w:val="22"/>
        </w:rPr>
        <w:t>πληθυσμού</w:t>
      </w:r>
      <w:r w:rsidRPr="00284256">
        <w:rPr>
          <w:rFonts w:asciiTheme="minorHAnsi" w:hAnsiTheme="minorHAnsi" w:cstheme="minorHAnsi"/>
          <w:sz w:val="22"/>
          <w:szCs w:val="22"/>
          <w:lang w:val="en-GB"/>
        </w:rPr>
        <w:t xml:space="preserve"> </w:t>
      </w:r>
      <w:r w:rsidRPr="00284256">
        <w:rPr>
          <w:rFonts w:asciiTheme="minorHAnsi" w:hAnsiTheme="minorHAnsi" w:cstheme="minorHAnsi"/>
          <w:sz w:val="22"/>
          <w:szCs w:val="22"/>
        </w:rPr>
        <w:t>και</w:t>
      </w:r>
      <w:r w:rsidRPr="00284256">
        <w:rPr>
          <w:rFonts w:asciiTheme="minorHAnsi" w:hAnsiTheme="minorHAnsi" w:cstheme="minorHAnsi"/>
          <w:sz w:val="22"/>
          <w:szCs w:val="22"/>
          <w:lang w:val="en-GB"/>
        </w:rPr>
        <w:t xml:space="preserve"> </w:t>
      </w:r>
      <w:r w:rsidRPr="00284256">
        <w:rPr>
          <w:rFonts w:asciiTheme="minorHAnsi" w:hAnsiTheme="minorHAnsi" w:cstheme="minorHAnsi"/>
          <w:sz w:val="22"/>
          <w:szCs w:val="22"/>
        </w:rPr>
        <w:t>η</w:t>
      </w:r>
      <w:r w:rsidRPr="00284256">
        <w:rPr>
          <w:rFonts w:asciiTheme="minorHAnsi" w:hAnsiTheme="minorHAnsi" w:cstheme="minorHAnsi"/>
          <w:sz w:val="22"/>
          <w:szCs w:val="22"/>
          <w:lang w:val="en-GB"/>
        </w:rPr>
        <w:t xml:space="preserve"> </w:t>
      </w:r>
      <w:r w:rsidRPr="00284256">
        <w:rPr>
          <w:rFonts w:asciiTheme="minorHAnsi" w:hAnsiTheme="minorHAnsi" w:cstheme="minorHAnsi"/>
          <w:sz w:val="22"/>
          <w:szCs w:val="22"/>
        </w:rPr>
        <w:t>σύνδεση</w:t>
      </w:r>
      <w:r w:rsidRPr="00284256">
        <w:rPr>
          <w:rFonts w:asciiTheme="minorHAnsi" w:hAnsiTheme="minorHAnsi" w:cstheme="minorHAnsi"/>
          <w:sz w:val="22"/>
          <w:szCs w:val="22"/>
          <w:lang w:val="en-GB"/>
        </w:rPr>
        <w:t xml:space="preserve"> </w:t>
      </w:r>
      <w:r w:rsidRPr="00284256">
        <w:rPr>
          <w:rFonts w:asciiTheme="minorHAnsi" w:hAnsiTheme="minorHAnsi" w:cstheme="minorHAnsi"/>
          <w:sz w:val="22"/>
          <w:szCs w:val="22"/>
        </w:rPr>
        <w:t>της</w:t>
      </w:r>
      <w:r w:rsidRPr="00284256">
        <w:rPr>
          <w:rFonts w:asciiTheme="minorHAnsi" w:hAnsiTheme="minorHAnsi" w:cstheme="minorHAnsi"/>
          <w:sz w:val="22"/>
          <w:szCs w:val="22"/>
          <w:lang w:val="en-GB"/>
        </w:rPr>
        <w:t xml:space="preserve"> </w:t>
      </w:r>
      <w:r w:rsidRPr="00284256">
        <w:rPr>
          <w:rFonts w:asciiTheme="minorHAnsi" w:hAnsiTheme="minorHAnsi" w:cstheme="minorHAnsi"/>
          <w:sz w:val="22"/>
          <w:szCs w:val="22"/>
        </w:rPr>
        <w:t>Πρακτικής</w:t>
      </w:r>
      <w:r w:rsidRPr="00284256">
        <w:rPr>
          <w:rFonts w:asciiTheme="minorHAnsi" w:hAnsiTheme="minorHAnsi" w:cstheme="minorHAnsi"/>
          <w:sz w:val="22"/>
          <w:szCs w:val="22"/>
          <w:lang w:val="en-GB"/>
        </w:rPr>
        <w:t xml:space="preserve"> </w:t>
      </w:r>
      <w:r w:rsidRPr="00284256">
        <w:rPr>
          <w:rFonts w:asciiTheme="minorHAnsi" w:hAnsiTheme="minorHAnsi" w:cstheme="minorHAnsi"/>
          <w:sz w:val="22"/>
          <w:szCs w:val="22"/>
        </w:rPr>
        <w:t>Άσκησης</w:t>
      </w:r>
      <w:r w:rsidRPr="00284256">
        <w:rPr>
          <w:rFonts w:asciiTheme="minorHAnsi" w:hAnsiTheme="minorHAnsi" w:cstheme="minorHAnsi"/>
          <w:sz w:val="22"/>
          <w:szCs w:val="22"/>
          <w:lang w:val="en-GB"/>
        </w:rPr>
        <w:t xml:space="preserve"> </w:t>
      </w:r>
      <w:r w:rsidRPr="00284256">
        <w:rPr>
          <w:rFonts w:asciiTheme="minorHAnsi" w:hAnsiTheme="minorHAnsi" w:cstheme="minorHAnsi"/>
          <w:sz w:val="22"/>
          <w:szCs w:val="22"/>
        </w:rPr>
        <w:t>με</w:t>
      </w:r>
      <w:r w:rsidRPr="00284256">
        <w:rPr>
          <w:rFonts w:asciiTheme="minorHAnsi" w:hAnsiTheme="minorHAnsi" w:cstheme="minorHAnsi"/>
          <w:sz w:val="22"/>
          <w:szCs w:val="22"/>
          <w:lang w:val="en-GB"/>
        </w:rPr>
        <w:t xml:space="preserve"> </w:t>
      </w:r>
      <w:r w:rsidRPr="00284256">
        <w:rPr>
          <w:rFonts w:asciiTheme="minorHAnsi" w:hAnsiTheme="minorHAnsi" w:cstheme="minorHAnsi"/>
          <w:sz w:val="22"/>
          <w:szCs w:val="22"/>
        </w:rPr>
        <w:t>την</w:t>
      </w:r>
      <w:r w:rsidRPr="00284256">
        <w:rPr>
          <w:rFonts w:asciiTheme="minorHAnsi" w:hAnsiTheme="minorHAnsi" w:cstheme="minorHAnsi"/>
          <w:sz w:val="22"/>
          <w:szCs w:val="22"/>
          <w:lang w:val="en-GB"/>
        </w:rPr>
        <w:t xml:space="preserve"> </w:t>
      </w:r>
      <w:r w:rsidRPr="00284256">
        <w:rPr>
          <w:rFonts w:asciiTheme="minorHAnsi" w:hAnsiTheme="minorHAnsi" w:cstheme="minorHAnsi"/>
          <w:sz w:val="22"/>
          <w:szCs w:val="22"/>
        </w:rPr>
        <w:t>αγορά</w:t>
      </w:r>
      <w:r w:rsidRPr="00284256">
        <w:rPr>
          <w:rFonts w:asciiTheme="minorHAnsi" w:hAnsiTheme="minorHAnsi" w:cstheme="minorHAnsi"/>
          <w:sz w:val="22"/>
          <w:szCs w:val="22"/>
          <w:lang w:val="en-GB"/>
        </w:rPr>
        <w:t xml:space="preserve"> </w:t>
      </w:r>
      <w:r w:rsidRPr="00284256">
        <w:rPr>
          <w:rFonts w:asciiTheme="minorHAnsi" w:hAnsiTheme="minorHAnsi" w:cstheme="minorHAnsi"/>
          <w:sz w:val="22"/>
          <w:szCs w:val="22"/>
        </w:rPr>
        <w:t>εργασίας</w:t>
      </w:r>
      <w:r w:rsidRPr="00284256">
        <w:rPr>
          <w:rFonts w:asciiTheme="minorHAnsi" w:hAnsiTheme="minorHAnsi" w:cstheme="minorHAnsi"/>
          <w:sz w:val="22"/>
          <w:szCs w:val="22"/>
          <w:lang w:val="en-GB"/>
        </w:rPr>
        <w:t xml:space="preserve">]. </w:t>
      </w:r>
      <w:r w:rsidRPr="00284256">
        <w:rPr>
          <w:rFonts w:asciiTheme="minorHAnsi" w:hAnsiTheme="minorHAnsi" w:cstheme="minorHAnsi"/>
          <w:sz w:val="22"/>
          <w:szCs w:val="22"/>
          <w:lang w:val="en-US"/>
        </w:rPr>
        <w:t>INE/GSEE. https://www.inegsee.gr/wp-content/uploads/2023/01/NEWSLETTER_08.pdf [In Greek]</w:t>
      </w:r>
    </w:p>
    <w:p w14:paraId="0C385E7B" w14:textId="2C592612" w:rsidR="000E183F" w:rsidRPr="00284256" w:rsidRDefault="000E183F" w:rsidP="00EE1EC6">
      <w:pPr>
        <w:ind w:firstLine="284"/>
        <w:jc w:val="both"/>
        <w:rPr>
          <w:rFonts w:asciiTheme="minorHAnsi" w:hAnsiTheme="minorHAnsi" w:cstheme="minorHAnsi"/>
          <w:sz w:val="22"/>
          <w:szCs w:val="22"/>
          <w:lang w:val="en-US" w:eastAsia="el-GR"/>
        </w:rPr>
      </w:pPr>
      <w:proofErr w:type="spellStart"/>
      <w:r w:rsidRPr="00284256">
        <w:rPr>
          <w:rFonts w:asciiTheme="minorHAnsi" w:hAnsiTheme="minorHAnsi" w:cstheme="minorHAnsi"/>
          <w:color w:val="000000"/>
          <w:sz w:val="22"/>
          <w:szCs w:val="22"/>
          <w:shd w:val="clear" w:color="auto" w:fill="FFFFFF"/>
          <w:lang w:val="en-US"/>
        </w:rPr>
        <w:t>Letloenyane</w:t>
      </w:r>
      <w:proofErr w:type="spellEnd"/>
      <w:r w:rsidRPr="00284256">
        <w:rPr>
          <w:rFonts w:asciiTheme="minorHAnsi" w:hAnsiTheme="minorHAnsi" w:cstheme="minorHAnsi"/>
          <w:color w:val="000000"/>
          <w:sz w:val="22"/>
          <w:szCs w:val="22"/>
          <w:shd w:val="clear" w:color="auto" w:fill="FFFFFF"/>
          <w:lang w:val="en-US"/>
        </w:rPr>
        <w:t xml:space="preserve">, P. C., </w:t>
      </w:r>
      <w:proofErr w:type="spellStart"/>
      <w:r w:rsidRPr="00284256">
        <w:rPr>
          <w:rFonts w:asciiTheme="minorHAnsi" w:hAnsiTheme="minorHAnsi" w:cstheme="minorHAnsi"/>
          <w:color w:val="000000"/>
          <w:sz w:val="22"/>
          <w:szCs w:val="22"/>
          <w:shd w:val="clear" w:color="auto" w:fill="FFFFFF"/>
          <w:lang w:val="en-US"/>
        </w:rPr>
        <w:t>Mokhele-Makgalwa</w:t>
      </w:r>
      <w:proofErr w:type="spellEnd"/>
      <w:r w:rsidRPr="00284256">
        <w:rPr>
          <w:rFonts w:asciiTheme="minorHAnsi" w:hAnsiTheme="minorHAnsi" w:cstheme="minorHAnsi"/>
          <w:color w:val="000000"/>
          <w:sz w:val="22"/>
          <w:szCs w:val="22"/>
          <w:shd w:val="clear" w:color="auto" w:fill="FFFFFF"/>
          <w:lang w:val="en-US"/>
        </w:rPr>
        <w:t xml:space="preserve">, M., &amp; </w:t>
      </w:r>
      <w:proofErr w:type="spellStart"/>
      <w:r w:rsidRPr="00284256">
        <w:rPr>
          <w:rFonts w:asciiTheme="minorHAnsi" w:hAnsiTheme="minorHAnsi" w:cstheme="minorHAnsi"/>
          <w:color w:val="000000"/>
          <w:sz w:val="22"/>
          <w:szCs w:val="22"/>
          <w:shd w:val="clear" w:color="auto" w:fill="FFFFFF"/>
          <w:lang w:val="en-US"/>
        </w:rPr>
        <w:t>Letloenyane</w:t>
      </w:r>
      <w:proofErr w:type="spellEnd"/>
      <w:r w:rsidRPr="00284256">
        <w:rPr>
          <w:rFonts w:asciiTheme="minorHAnsi" w:hAnsiTheme="minorHAnsi" w:cstheme="minorHAnsi"/>
          <w:color w:val="000000"/>
          <w:sz w:val="22"/>
          <w:szCs w:val="22"/>
          <w:shd w:val="clear" w:color="auto" w:fill="FFFFFF"/>
          <w:lang w:val="en-US"/>
        </w:rPr>
        <w:t xml:space="preserve">, D. M. (2025). What Mentorship? Pre-Service and In-Service Teachers’ Experiences of a Teaching Practice Mentorship </w:t>
      </w:r>
      <w:proofErr w:type="spellStart"/>
      <w:r w:rsidRPr="00284256">
        <w:rPr>
          <w:rFonts w:asciiTheme="minorHAnsi" w:hAnsiTheme="minorHAnsi" w:cstheme="minorHAnsi"/>
          <w:color w:val="000000"/>
          <w:sz w:val="22"/>
          <w:szCs w:val="22"/>
          <w:shd w:val="clear" w:color="auto" w:fill="FFFFFF"/>
          <w:lang w:val="en-US"/>
        </w:rPr>
        <w:t>Programme</w:t>
      </w:r>
      <w:proofErr w:type="spellEnd"/>
      <w:r w:rsidRPr="00284256">
        <w:rPr>
          <w:rFonts w:asciiTheme="minorHAnsi" w:hAnsiTheme="minorHAnsi" w:cstheme="minorHAnsi"/>
          <w:color w:val="000000"/>
          <w:sz w:val="22"/>
          <w:szCs w:val="22"/>
          <w:shd w:val="clear" w:color="auto" w:fill="FFFFFF"/>
          <w:lang w:val="en-US"/>
        </w:rPr>
        <w:t xml:space="preserve">. </w:t>
      </w:r>
      <w:r w:rsidRPr="00284256">
        <w:rPr>
          <w:rStyle w:val="Emphasis"/>
          <w:rFonts w:asciiTheme="minorHAnsi" w:hAnsiTheme="minorHAnsi" w:cstheme="minorHAnsi"/>
          <w:color w:val="000000"/>
          <w:sz w:val="22"/>
          <w:szCs w:val="22"/>
          <w:bdr w:val="none" w:sz="0" w:space="0" w:color="auto" w:frame="1"/>
          <w:shd w:val="clear" w:color="auto" w:fill="FFFFFF"/>
          <w:lang w:val="en-US"/>
        </w:rPr>
        <w:t>Australian Journal of Teacher Education, 50</w:t>
      </w:r>
      <w:r w:rsidRPr="00284256">
        <w:rPr>
          <w:rFonts w:asciiTheme="minorHAnsi" w:hAnsiTheme="minorHAnsi" w:cstheme="minorHAnsi"/>
          <w:color w:val="000000"/>
          <w:sz w:val="22"/>
          <w:szCs w:val="22"/>
          <w:shd w:val="clear" w:color="auto" w:fill="FFFFFF"/>
          <w:lang w:val="en-US"/>
        </w:rPr>
        <w:t xml:space="preserve">(3). </w:t>
      </w:r>
      <w:r w:rsidRPr="00284256">
        <w:rPr>
          <w:rFonts w:asciiTheme="minorHAnsi" w:hAnsiTheme="minorHAnsi" w:cstheme="minorHAnsi"/>
          <w:sz w:val="22"/>
          <w:szCs w:val="22"/>
          <w:bdr w:val="none" w:sz="0" w:space="0" w:color="auto" w:frame="1"/>
          <w:shd w:val="clear" w:color="auto" w:fill="FFFFFF"/>
          <w:lang w:val="en-US"/>
        </w:rPr>
        <w:t>https://doi.org/10.14221/1835-517X.6283</w:t>
      </w:r>
      <w:r w:rsidRPr="00284256">
        <w:rPr>
          <w:rFonts w:asciiTheme="minorHAnsi" w:hAnsiTheme="minorHAnsi" w:cstheme="minorHAnsi"/>
          <w:sz w:val="22"/>
          <w:szCs w:val="22"/>
          <w:lang w:val="en-US" w:eastAsia="el-GR"/>
        </w:rPr>
        <w:t xml:space="preserve"> </w:t>
      </w:r>
    </w:p>
    <w:p w14:paraId="7D617D30" w14:textId="027B84AD" w:rsidR="00EE1EC6" w:rsidRPr="00284256" w:rsidRDefault="00EE1EC6" w:rsidP="00EE1EC6">
      <w:pPr>
        <w:ind w:firstLine="284"/>
        <w:jc w:val="both"/>
        <w:rPr>
          <w:rFonts w:asciiTheme="minorHAnsi" w:hAnsiTheme="minorHAnsi" w:cstheme="minorHAnsi"/>
          <w:sz w:val="22"/>
          <w:szCs w:val="22"/>
          <w:lang w:val="en-US" w:eastAsia="el-GR"/>
        </w:rPr>
      </w:pPr>
      <w:r w:rsidRPr="00284256">
        <w:rPr>
          <w:rFonts w:asciiTheme="minorHAnsi" w:hAnsiTheme="minorHAnsi" w:cstheme="minorHAnsi"/>
          <w:sz w:val="22"/>
          <w:szCs w:val="22"/>
          <w:lang w:val="en-US" w:eastAsia="el-GR"/>
        </w:rPr>
        <w:t xml:space="preserve">Li, M., </w:t>
      </w:r>
      <w:proofErr w:type="spellStart"/>
      <w:r w:rsidRPr="00284256">
        <w:rPr>
          <w:rFonts w:asciiTheme="minorHAnsi" w:hAnsiTheme="minorHAnsi" w:cstheme="minorHAnsi"/>
          <w:sz w:val="22"/>
          <w:szCs w:val="22"/>
          <w:lang w:val="en-US" w:eastAsia="el-GR"/>
        </w:rPr>
        <w:t>Kuang</w:t>
      </w:r>
      <w:proofErr w:type="spellEnd"/>
      <w:r w:rsidRPr="00284256">
        <w:rPr>
          <w:rFonts w:asciiTheme="minorHAnsi" w:hAnsiTheme="minorHAnsi" w:cstheme="minorHAnsi"/>
          <w:sz w:val="22"/>
          <w:szCs w:val="22"/>
          <w:lang w:val="en-US" w:eastAsia="el-GR"/>
        </w:rPr>
        <w:t xml:space="preserve">, F., &amp; Wei, D. (2023). Exploring the characteristics of pre-service EFL teachers’ practicum experiences: a complexity theory-based case study in China. </w:t>
      </w:r>
      <w:r w:rsidRPr="00284256">
        <w:rPr>
          <w:rFonts w:asciiTheme="minorHAnsi" w:hAnsiTheme="minorHAnsi" w:cstheme="minorHAnsi"/>
          <w:i/>
          <w:iCs/>
          <w:sz w:val="22"/>
          <w:szCs w:val="22"/>
          <w:lang w:val="en-US" w:eastAsia="el-GR"/>
        </w:rPr>
        <w:t>Asian-Pacific Journal of Second and Foreign Language Education</w:t>
      </w:r>
      <w:r w:rsidRPr="00284256">
        <w:rPr>
          <w:rFonts w:asciiTheme="minorHAnsi" w:hAnsiTheme="minorHAnsi" w:cstheme="minorHAnsi"/>
          <w:sz w:val="22"/>
          <w:szCs w:val="22"/>
          <w:lang w:val="en-US" w:eastAsia="el-GR"/>
        </w:rPr>
        <w:t xml:space="preserve">, </w:t>
      </w:r>
      <w:r w:rsidRPr="00284256">
        <w:rPr>
          <w:rFonts w:asciiTheme="minorHAnsi" w:hAnsiTheme="minorHAnsi" w:cstheme="minorHAnsi"/>
          <w:i/>
          <w:iCs/>
          <w:sz w:val="22"/>
          <w:szCs w:val="22"/>
          <w:lang w:val="en-US" w:eastAsia="el-GR"/>
        </w:rPr>
        <w:t>8</w:t>
      </w:r>
      <w:r w:rsidRPr="00284256">
        <w:rPr>
          <w:rFonts w:asciiTheme="minorHAnsi" w:hAnsiTheme="minorHAnsi" w:cstheme="minorHAnsi"/>
          <w:sz w:val="22"/>
          <w:szCs w:val="22"/>
          <w:lang w:val="en-US" w:eastAsia="el-GR"/>
        </w:rPr>
        <w:t>(1</w:t>
      </w:r>
      <w:r w:rsidR="00284256" w:rsidRPr="00284256">
        <w:rPr>
          <w:rFonts w:asciiTheme="minorHAnsi" w:hAnsiTheme="minorHAnsi" w:cstheme="minorHAnsi"/>
          <w:sz w:val="22"/>
          <w:szCs w:val="22"/>
          <w:lang w:val="en-US" w:eastAsia="el-GR"/>
        </w:rPr>
        <w:t>3</w:t>
      </w:r>
      <w:r w:rsidRPr="00284256">
        <w:rPr>
          <w:rFonts w:asciiTheme="minorHAnsi" w:hAnsiTheme="minorHAnsi" w:cstheme="minorHAnsi"/>
          <w:sz w:val="22"/>
          <w:szCs w:val="22"/>
          <w:lang w:val="en-US" w:eastAsia="el-GR"/>
        </w:rPr>
        <w:t>). https://doi.org/10.1186/s40862-023-00187-4</w:t>
      </w:r>
    </w:p>
    <w:p w14:paraId="200C8716" w14:textId="77777777" w:rsidR="00EE1EC6" w:rsidRPr="00284256" w:rsidRDefault="00EE1EC6" w:rsidP="00EE1EC6">
      <w:pPr>
        <w:ind w:firstLine="284"/>
        <w:jc w:val="both"/>
        <w:rPr>
          <w:rFonts w:asciiTheme="minorHAnsi" w:hAnsiTheme="minorHAnsi" w:cstheme="minorHAnsi"/>
          <w:sz w:val="22"/>
          <w:szCs w:val="22"/>
          <w:lang w:val="en-US" w:eastAsia="el-GR"/>
        </w:rPr>
      </w:pPr>
      <w:proofErr w:type="spellStart"/>
      <w:r w:rsidRPr="00284256">
        <w:rPr>
          <w:rFonts w:asciiTheme="minorHAnsi" w:hAnsiTheme="minorHAnsi" w:cstheme="minorHAnsi"/>
          <w:sz w:val="22"/>
          <w:szCs w:val="22"/>
          <w:lang w:val="en-US" w:eastAsia="el-GR"/>
        </w:rPr>
        <w:t>Lofthouse</w:t>
      </w:r>
      <w:proofErr w:type="spellEnd"/>
      <w:r w:rsidRPr="00284256">
        <w:rPr>
          <w:rFonts w:asciiTheme="minorHAnsi" w:hAnsiTheme="minorHAnsi" w:cstheme="minorHAnsi"/>
          <w:sz w:val="22"/>
          <w:szCs w:val="22"/>
          <w:lang w:val="en-US" w:eastAsia="el-GR"/>
        </w:rPr>
        <w:t xml:space="preserve">, R. (2019). Coaching in education: a professional development process in formation. </w:t>
      </w:r>
      <w:r w:rsidRPr="00284256">
        <w:rPr>
          <w:rFonts w:asciiTheme="minorHAnsi" w:hAnsiTheme="minorHAnsi" w:cstheme="minorHAnsi"/>
          <w:i/>
          <w:iCs/>
          <w:sz w:val="22"/>
          <w:szCs w:val="22"/>
          <w:lang w:val="en-US" w:eastAsia="el-GR"/>
        </w:rPr>
        <w:t>Professional Development in Education</w:t>
      </w:r>
      <w:r w:rsidRPr="00284256">
        <w:rPr>
          <w:rFonts w:asciiTheme="minorHAnsi" w:hAnsiTheme="minorHAnsi" w:cstheme="minorHAnsi"/>
          <w:sz w:val="22"/>
          <w:szCs w:val="22"/>
          <w:lang w:val="en-US" w:eastAsia="el-GR"/>
        </w:rPr>
        <w:t xml:space="preserve">, </w:t>
      </w:r>
      <w:r w:rsidRPr="00284256">
        <w:rPr>
          <w:rFonts w:asciiTheme="minorHAnsi" w:hAnsiTheme="minorHAnsi" w:cstheme="minorHAnsi"/>
          <w:i/>
          <w:iCs/>
          <w:sz w:val="22"/>
          <w:szCs w:val="22"/>
          <w:lang w:val="en-US" w:eastAsia="el-GR"/>
        </w:rPr>
        <w:t>45</w:t>
      </w:r>
      <w:r w:rsidRPr="00284256">
        <w:rPr>
          <w:rFonts w:asciiTheme="minorHAnsi" w:hAnsiTheme="minorHAnsi" w:cstheme="minorHAnsi"/>
          <w:sz w:val="22"/>
          <w:szCs w:val="22"/>
          <w:lang w:val="en-US" w:eastAsia="el-GR"/>
        </w:rPr>
        <w:t xml:space="preserve">(1), 33–45. https://doi.org/10.1080/19415257.2018.1529611 </w:t>
      </w:r>
    </w:p>
    <w:p w14:paraId="1BA71928" w14:textId="0DD88D67" w:rsidR="00EE1EC6" w:rsidRPr="00284256" w:rsidRDefault="00EE1EC6" w:rsidP="00EE1EC6">
      <w:pPr>
        <w:ind w:firstLine="284"/>
        <w:jc w:val="both"/>
        <w:rPr>
          <w:rFonts w:asciiTheme="minorHAnsi" w:hAnsiTheme="minorHAnsi" w:cstheme="minorHAnsi"/>
          <w:sz w:val="22"/>
          <w:szCs w:val="22"/>
          <w:lang w:val="en-US" w:eastAsia="el-GR"/>
        </w:rPr>
      </w:pPr>
      <w:r w:rsidRPr="00284256">
        <w:rPr>
          <w:rFonts w:asciiTheme="minorHAnsi" w:hAnsiTheme="minorHAnsi" w:cstheme="minorHAnsi"/>
          <w:sz w:val="22"/>
          <w:szCs w:val="22"/>
          <w:lang w:val="en-GB" w:eastAsia="el-GR"/>
        </w:rPr>
        <w:t xml:space="preserve">Miller, L. (2023). Supervision to Support Reflective Practices. </w:t>
      </w:r>
      <w:r w:rsidRPr="00284256">
        <w:rPr>
          <w:rFonts w:asciiTheme="minorHAnsi" w:hAnsiTheme="minorHAnsi" w:cstheme="minorHAnsi"/>
          <w:i/>
          <w:iCs/>
          <w:sz w:val="22"/>
          <w:szCs w:val="22"/>
          <w:lang w:val="en-GB" w:eastAsia="el-GR"/>
        </w:rPr>
        <w:t>Journal of Educational Supervision</w:t>
      </w:r>
      <w:r w:rsidRPr="00284256">
        <w:rPr>
          <w:rFonts w:asciiTheme="minorHAnsi" w:hAnsiTheme="minorHAnsi" w:cstheme="minorHAnsi"/>
          <w:sz w:val="22"/>
          <w:szCs w:val="22"/>
          <w:lang w:val="en-GB" w:eastAsia="el-GR"/>
        </w:rPr>
        <w:t xml:space="preserve">, </w:t>
      </w:r>
      <w:r w:rsidRPr="00284256">
        <w:rPr>
          <w:rFonts w:asciiTheme="minorHAnsi" w:hAnsiTheme="minorHAnsi" w:cstheme="minorHAnsi"/>
          <w:i/>
          <w:iCs/>
          <w:sz w:val="22"/>
          <w:szCs w:val="22"/>
          <w:lang w:val="en-GB" w:eastAsia="el-GR"/>
        </w:rPr>
        <w:t>6</w:t>
      </w:r>
      <w:r w:rsidRPr="00284256">
        <w:rPr>
          <w:rFonts w:asciiTheme="minorHAnsi" w:hAnsiTheme="minorHAnsi" w:cstheme="minorHAnsi"/>
          <w:sz w:val="22"/>
          <w:szCs w:val="22"/>
          <w:lang w:val="en-GB" w:eastAsia="el-GR"/>
        </w:rPr>
        <w:t>(1), 1–18. https://doi.org/10.31045/jes.6.1.1</w:t>
      </w:r>
      <w:r w:rsidRPr="00284256">
        <w:rPr>
          <w:rFonts w:asciiTheme="minorHAnsi" w:hAnsiTheme="minorHAnsi" w:cstheme="minorHAnsi"/>
          <w:sz w:val="22"/>
          <w:szCs w:val="22"/>
          <w:lang w:val="en-US" w:eastAsia="el-GR"/>
        </w:rPr>
        <w:t xml:space="preserve"> </w:t>
      </w:r>
    </w:p>
    <w:p w14:paraId="747CD5EA" w14:textId="77777777" w:rsidR="00EE1EC6" w:rsidRPr="00284256" w:rsidRDefault="00EE1EC6" w:rsidP="00EE1EC6">
      <w:pPr>
        <w:ind w:firstLine="284"/>
        <w:jc w:val="both"/>
        <w:rPr>
          <w:rFonts w:asciiTheme="minorHAnsi" w:hAnsiTheme="minorHAnsi" w:cstheme="minorHAnsi"/>
          <w:sz w:val="22"/>
          <w:szCs w:val="22"/>
          <w:lang w:val="en-US"/>
        </w:rPr>
      </w:pPr>
      <w:proofErr w:type="spellStart"/>
      <w:r w:rsidRPr="00284256">
        <w:rPr>
          <w:rFonts w:asciiTheme="minorHAnsi" w:hAnsiTheme="minorHAnsi" w:cstheme="minorHAnsi"/>
          <w:sz w:val="22"/>
          <w:szCs w:val="22"/>
          <w:lang w:val="en-US"/>
        </w:rPr>
        <w:t>Papaioannou</w:t>
      </w:r>
      <w:proofErr w:type="spellEnd"/>
      <w:r w:rsidRPr="00284256">
        <w:rPr>
          <w:rFonts w:asciiTheme="minorHAnsi" w:hAnsiTheme="minorHAnsi" w:cstheme="minorHAnsi"/>
          <w:sz w:val="22"/>
          <w:szCs w:val="22"/>
          <w:lang w:val="en-US"/>
        </w:rPr>
        <w:t xml:space="preserve">, M. (2025). </w:t>
      </w:r>
      <w:r w:rsidRPr="00284256">
        <w:rPr>
          <w:rStyle w:val="Emphasis"/>
          <w:rFonts w:asciiTheme="minorHAnsi" w:hAnsiTheme="minorHAnsi" w:cstheme="minorHAnsi"/>
          <w:i w:val="0"/>
          <w:sz w:val="22"/>
          <w:szCs w:val="22"/>
          <w:lang w:val="en-US"/>
        </w:rPr>
        <w:t>Mentoring relationships in the teaching practicum and the socio-emotional development of pre-service teachers</w:t>
      </w:r>
      <w:r w:rsidRPr="00284256">
        <w:rPr>
          <w:rFonts w:asciiTheme="minorHAnsi" w:hAnsiTheme="minorHAnsi" w:cstheme="minorHAnsi"/>
          <w:sz w:val="22"/>
          <w:szCs w:val="22"/>
          <w:lang w:val="en-US"/>
        </w:rPr>
        <w:t xml:space="preserve"> [</w:t>
      </w:r>
      <w:proofErr w:type="spellStart"/>
      <w:r w:rsidRPr="00284256">
        <w:rPr>
          <w:rFonts w:asciiTheme="minorHAnsi" w:hAnsiTheme="minorHAnsi" w:cstheme="minorHAnsi"/>
          <w:sz w:val="22"/>
          <w:szCs w:val="22"/>
        </w:rPr>
        <w:t>Μεντορική</w:t>
      </w:r>
      <w:proofErr w:type="spellEnd"/>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σχέση</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στην</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Πρακτική</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Άσκηση</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και</w:t>
      </w:r>
      <w:r w:rsidRPr="00284256">
        <w:rPr>
          <w:rFonts w:asciiTheme="minorHAnsi" w:hAnsiTheme="minorHAnsi" w:cstheme="minorHAnsi"/>
          <w:sz w:val="22"/>
          <w:szCs w:val="22"/>
          <w:lang w:val="en-US"/>
        </w:rPr>
        <w:t xml:space="preserve"> </w:t>
      </w:r>
      <w:proofErr w:type="spellStart"/>
      <w:r w:rsidRPr="00284256">
        <w:rPr>
          <w:rFonts w:asciiTheme="minorHAnsi" w:hAnsiTheme="minorHAnsi" w:cstheme="minorHAnsi"/>
          <w:sz w:val="22"/>
          <w:szCs w:val="22"/>
        </w:rPr>
        <w:t>ψυχοσυναισθηματική</w:t>
      </w:r>
      <w:proofErr w:type="spellEnd"/>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βελτίωση</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υποψήφιων</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εκπαιδευτικών</w:t>
      </w:r>
      <w:r w:rsidRPr="00284256">
        <w:rPr>
          <w:rFonts w:asciiTheme="minorHAnsi" w:hAnsiTheme="minorHAnsi" w:cstheme="minorHAnsi"/>
          <w:sz w:val="22"/>
          <w:szCs w:val="22"/>
          <w:lang w:val="en-US"/>
        </w:rPr>
        <w:t xml:space="preserve">]. </w:t>
      </w:r>
      <w:r w:rsidRPr="00284256">
        <w:rPr>
          <w:rStyle w:val="Emphasis"/>
          <w:rFonts w:asciiTheme="minorHAnsi" w:hAnsiTheme="minorHAnsi" w:cstheme="minorHAnsi"/>
          <w:sz w:val="22"/>
          <w:szCs w:val="22"/>
          <w:lang w:val="en-US"/>
        </w:rPr>
        <w:t>Research in Education, 14</w:t>
      </w:r>
      <w:r w:rsidRPr="00284256">
        <w:rPr>
          <w:rFonts w:asciiTheme="minorHAnsi" w:hAnsiTheme="minorHAnsi" w:cstheme="minorHAnsi"/>
          <w:sz w:val="22"/>
          <w:szCs w:val="22"/>
          <w:lang w:val="en-US"/>
        </w:rPr>
        <w:t>(1), 52–69. https://doi.org/10.12681/hjre.40494 [In Greek]</w:t>
      </w:r>
    </w:p>
    <w:p w14:paraId="27F397C3" w14:textId="77777777" w:rsidR="00EE1EC6" w:rsidRPr="00284256" w:rsidRDefault="00EE1EC6" w:rsidP="00EE1EC6">
      <w:pPr>
        <w:ind w:firstLine="284"/>
        <w:jc w:val="both"/>
        <w:rPr>
          <w:rFonts w:asciiTheme="minorHAnsi" w:hAnsiTheme="minorHAnsi" w:cstheme="minorHAnsi"/>
          <w:sz w:val="22"/>
          <w:szCs w:val="22"/>
          <w:lang w:val="en-US" w:eastAsia="el-GR"/>
        </w:rPr>
      </w:pPr>
      <w:proofErr w:type="spellStart"/>
      <w:r w:rsidRPr="00284256">
        <w:rPr>
          <w:rFonts w:asciiTheme="minorHAnsi" w:hAnsiTheme="minorHAnsi" w:cstheme="minorHAnsi"/>
          <w:sz w:val="22"/>
          <w:szCs w:val="22"/>
          <w:lang w:val="en-US" w:eastAsia="el-GR"/>
        </w:rPr>
        <w:t>Schön</w:t>
      </w:r>
      <w:proofErr w:type="spellEnd"/>
      <w:r w:rsidRPr="00284256">
        <w:rPr>
          <w:rFonts w:asciiTheme="minorHAnsi" w:hAnsiTheme="minorHAnsi" w:cstheme="minorHAnsi"/>
          <w:sz w:val="22"/>
          <w:szCs w:val="22"/>
          <w:lang w:val="en-US" w:eastAsia="el-GR"/>
        </w:rPr>
        <w:t xml:space="preserve">, D. (1983). </w:t>
      </w:r>
      <w:r w:rsidRPr="00284256">
        <w:rPr>
          <w:rFonts w:asciiTheme="minorHAnsi" w:hAnsiTheme="minorHAnsi" w:cstheme="minorHAnsi"/>
          <w:i/>
          <w:sz w:val="22"/>
          <w:szCs w:val="22"/>
          <w:lang w:val="en-US" w:eastAsia="el-GR"/>
        </w:rPr>
        <w:t>The Reflective Practitioner: How Professionals Think in Action</w:t>
      </w:r>
      <w:r w:rsidRPr="00284256">
        <w:rPr>
          <w:rFonts w:asciiTheme="minorHAnsi" w:hAnsiTheme="minorHAnsi" w:cstheme="minorHAnsi"/>
          <w:sz w:val="22"/>
          <w:szCs w:val="22"/>
          <w:lang w:val="en-US" w:eastAsia="el-GR"/>
        </w:rPr>
        <w:t xml:space="preserve">. London: Temple Smith. </w:t>
      </w:r>
    </w:p>
    <w:p w14:paraId="4711E6EF" w14:textId="77777777" w:rsidR="00EE1EC6" w:rsidRPr="00284256" w:rsidRDefault="00EE1EC6" w:rsidP="00EE1EC6">
      <w:pPr>
        <w:ind w:firstLine="284"/>
        <w:jc w:val="both"/>
        <w:rPr>
          <w:rFonts w:asciiTheme="minorHAnsi" w:hAnsiTheme="minorHAnsi" w:cstheme="minorHAnsi"/>
          <w:sz w:val="22"/>
          <w:szCs w:val="22"/>
          <w:lang w:val="en-US" w:eastAsia="el-GR"/>
        </w:rPr>
      </w:pPr>
      <w:proofErr w:type="spellStart"/>
      <w:r w:rsidRPr="00284256">
        <w:rPr>
          <w:rFonts w:asciiTheme="minorHAnsi" w:hAnsiTheme="minorHAnsi" w:cstheme="minorHAnsi"/>
          <w:sz w:val="22"/>
          <w:szCs w:val="22"/>
          <w:lang w:val="en-US" w:eastAsia="el-GR"/>
        </w:rPr>
        <w:t>Schön</w:t>
      </w:r>
      <w:proofErr w:type="spellEnd"/>
      <w:r w:rsidRPr="00284256">
        <w:rPr>
          <w:rFonts w:asciiTheme="minorHAnsi" w:hAnsiTheme="minorHAnsi" w:cstheme="minorHAnsi"/>
          <w:sz w:val="22"/>
          <w:szCs w:val="22"/>
          <w:lang w:val="en-US" w:eastAsia="el-GR"/>
        </w:rPr>
        <w:t xml:space="preserve">, D. A. (1987). </w:t>
      </w:r>
      <w:r w:rsidRPr="00284256">
        <w:rPr>
          <w:rFonts w:asciiTheme="minorHAnsi" w:hAnsiTheme="minorHAnsi" w:cstheme="minorHAnsi"/>
          <w:i/>
          <w:sz w:val="22"/>
          <w:szCs w:val="22"/>
          <w:lang w:val="en-US" w:eastAsia="el-GR"/>
        </w:rPr>
        <w:t>Educating the reflective practitioner: Toward a new design for teaching and learning in the professions</w:t>
      </w:r>
      <w:r w:rsidRPr="00284256">
        <w:rPr>
          <w:rFonts w:asciiTheme="minorHAnsi" w:hAnsiTheme="minorHAnsi" w:cstheme="minorHAnsi"/>
          <w:sz w:val="22"/>
          <w:szCs w:val="22"/>
          <w:lang w:val="en-US" w:eastAsia="el-GR"/>
        </w:rPr>
        <w:t xml:space="preserve">. San Francisco, CA: </w:t>
      </w:r>
      <w:proofErr w:type="spellStart"/>
      <w:r w:rsidRPr="00284256">
        <w:rPr>
          <w:rFonts w:asciiTheme="minorHAnsi" w:hAnsiTheme="minorHAnsi" w:cstheme="minorHAnsi"/>
          <w:sz w:val="22"/>
          <w:szCs w:val="22"/>
          <w:lang w:val="en-US" w:eastAsia="el-GR"/>
        </w:rPr>
        <w:t>Jossey</w:t>
      </w:r>
      <w:proofErr w:type="spellEnd"/>
      <w:r w:rsidRPr="00284256">
        <w:rPr>
          <w:rFonts w:asciiTheme="minorHAnsi" w:hAnsiTheme="minorHAnsi" w:cstheme="minorHAnsi"/>
          <w:sz w:val="22"/>
          <w:szCs w:val="22"/>
          <w:lang w:val="en-US" w:eastAsia="el-GR"/>
        </w:rPr>
        <w:t xml:space="preserve">-Bass </w:t>
      </w:r>
    </w:p>
    <w:p w14:paraId="14D54986" w14:textId="41ABA800" w:rsidR="00EE1EC6" w:rsidRPr="00284256" w:rsidRDefault="00EE1EC6" w:rsidP="00EE1EC6">
      <w:pPr>
        <w:ind w:firstLine="284"/>
        <w:jc w:val="both"/>
        <w:rPr>
          <w:rFonts w:asciiTheme="minorHAnsi" w:hAnsiTheme="minorHAnsi" w:cstheme="minorHAnsi"/>
          <w:sz w:val="22"/>
          <w:szCs w:val="22"/>
          <w:lang w:val="en-US"/>
        </w:rPr>
      </w:pPr>
      <w:proofErr w:type="spellStart"/>
      <w:r w:rsidRPr="00284256">
        <w:rPr>
          <w:rFonts w:asciiTheme="minorHAnsi" w:hAnsiTheme="minorHAnsi" w:cstheme="minorHAnsi"/>
          <w:sz w:val="22"/>
          <w:szCs w:val="22"/>
          <w:lang w:val="en-US"/>
        </w:rPr>
        <w:t>Sfyroera</w:t>
      </w:r>
      <w:proofErr w:type="spellEnd"/>
      <w:r w:rsidRPr="00284256">
        <w:rPr>
          <w:rFonts w:asciiTheme="minorHAnsi" w:hAnsiTheme="minorHAnsi" w:cstheme="minorHAnsi"/>
          <w:sz w:val="22"/>
          <w:szCs w:val="22"/>
          <w:lang w:val="en-US"/>
        </w:rPr>
        <w:t xml:space="preserve">, M., </w:t>
      </w:r>
      <w:proofErr w:type="spellStart"/>
      <w:r w:rsidRPr="00284256">
        <w:rPr>
          <w:rFonts w:asciiTheme="minorHAnsi" w:hAnsiTheme="minorHAnsi" w:cstheme="minorHAnsi"/>
          <w:sz w:val="22"/>
          <w:szCs w:val="22"/>
          <w:lang w:val="en-US"/>
        </w:rPr>
        <w:t>Kortesi-Dafermou</w:t>
      </w:r>
      <w:proofErr w:type="spellEnd"/>
      <w:r w:rsidRPr="00284256">
        <w:rPr>
          <w:rFonts w:asciiTheme="minorHAnsi" w:hAnsiTheme="minorHAnsi" w:cstheme="minorHAnsi"/>
          <w:sz w:val="22"/>
          <w:szCs w:val="22"/>
          <w:lang w:val="en-US"/>
        </w:rPr>
        <w:t xml:space="preserve">, C., </w:t>
      </w:r>
      <w:proofErr w:type="spellStart"/>
      <w:r w:rsidRPr="00284256">
        <w:rPr>
          <w:rFonts w:asciiTheme="minorHAnsi" w:hAnsiTheme="minorHAnsi" w:cstheme="minorHAnsi"/>
          <w:sz w:val="22"/>
          <w:szCs w:val="22"/>
          <w:lang w:val="en-US"/>
        </w:rPr>
        <w:t>Vouvousira</w:t>
      </w:r>
      <w:proofErr w:type="spellEnd"/>
      <w:r w:rsidRPr="00284256">
        <w:rPr>
          <w:rFonts w:asciiTheme="minorHAnsi" w:hAnsiTheme="minorHAnsi" w:cstheme="minorHAnsi"/>
          <w:sz w:val="22"/>
          <w:szCs w:val="22"/>
          <w:lang w:val="en-US"/>
        </w:rPr>
        <w:t xml:space="preserve">, S., </w:t>
      </w:r>
      <w:proofErr w:type="spellStart"/>
      <w:r w:rsidRPr="00284256">
        <w:rPr>
          <w:rFonts w:asciiTheme="minorHAnsi" w:hAnsiTheme="minorHAnsi" w:cstheme="minorHAnsi"/>
          <w:sz w:val="22"/>
          <w:szCs w:val="22"/>
          <w:lang w:val="en-US"/>
        </w:rPr>
        <w:t>Kosmidou</w:t>
      </w:r>
      <w:proofErr w:type="spellEnd"/>
      <w:r w:rsidRPr="00284256">
        <w:rPr>
          <w:rFonts w:asciiTheme="minorHAnsi" w:hAnsiTheme="minorHAnsi" w:cstheme="minorHAnsi"/>
          <w:sz w:val="22"/>
          <w:szCs w:val="22"/>
          <w:lang w:val="en-US"/>
        </w:rPr>
        <w:t xml:space="preserve">, E., </w:t>
      </w:r>
      <w:proofErr w:type="spellStart"/>
      <w:r w:rsidRPr="00284256">
        <w:rPr>
          <w:rFonts w:asciiTheme="minorHAnsi" w:hAnsiTheme="minorHAnsi" w:cstheme="minorHAnsi"/>
          <w:sz w:val="22"/>
          <w:szCs w:val="22"/>
          <w:lang w:val="en-US"/>
        </w:rPr>
        <w:t>Kostoudi</w:t>
      </w:r>
      <w:proofErr w:type="spellEnd"/>
      <w:r w:rsidRPr="00284256">
        <w:rPr>
          <w:rFonts w:asciiTheme="minorHAnsi" w:hAnsiTheme="minorHAnsi" w:cstheme="minorHAnsi"/>
          <w:sz w:val="22"/>
          <w:szCs w:val="22"/>
          <w:lang w:val="en-US"/>
        </w:rPr>
        <w:t xml:space="preserve">, F., </w:t>
      </w:r>
      <w:proofErr w:type="spellStart"/>
      <w:r w:rsidRPr="00284256">
        <w:rPr>
          <w:rFonts w:asciiTheme="minorHAnsi" w:hAnsiTheme="minorHAnsi" w:cstheme="minorHAnsi"/>
          <w:sz w:val="22"/>
          <w:szCs w:val="22"/>
          <w:lang w:val="en-US"/>
        </w:rPr>
        <w:t>Bethani</w:t>
      </w:r>
      <w:proofErr w:type="spellEnd"/>
      <w:r w:rsidRPr="00284256">
        <w:rPr>
          <w:rFonts w:asciiTheme="minorHAnsi" w:hAnsiTheme="minorHAnsi" w:cstheme="minorHAnsi"/>
          <w:sz w:val="22"/>
          <w:szCs w:val="22"/>
          <w:lang w:val="en-US"/>
        </w:rPr>
        <w:t xml:space="preserve">, M., &amp; </w:t>
      </w:r>
      <w:proofErr w:type="spellStart"/>
      <w:r w:rsidRPr="00284256">
        <w:rPr>
          <w:rFonts w:asciiTheme="minorHAnsi" w:hAnsiTheme="minorHAnsi" w:cstheme="minorHAnsi"/>
          <w:sz w:val="22"/>
          <w:szCs w:val="22"/>
          <w:lang w:val="en-US"/>
        </w:rPr>
        <w:t>Stathi</w:t>
      </w:r>
      <w:proofErr w:type="spellEnd"/>
      <w:r w:rsidRPr="00284256">
        <w:rPr>
          <w:rFonts w:asciiTheme="minorHAnsi" w:hAnsiTheme="minorHAnsi" w:cstheme="minorHAnsi"/>
          <w:sz w:val="22"/>
          <w:szCs w:val="22"/>
          <w:lang w:val="en-US"/>
        </w:rPr>
        <w:t xml:space="preserve">, M. (2020). </w:t>
      </w:r>
      <w:r w:rsidRPr="00284256">
        <w:rPr>
          <w:rStyle w:val="Emphasis"/>
          <w:rFonts w:asciiTheme="minorHAnsi" w:hAnsiTheme="minorHAnsi" w:cstheme="minorHAnsi"/>
          <w:i w:val="0"/>
          <w:sz w:val="22"/>
          <w:szCs w:val="22"/>
          <w:lang w:val="en-US"/>
        </w:rPr>
        <w:t>Supporting understanding and reflective processes in initial teacher education: The contribution of supervision</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Υποστηρίζοντας</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κατανοήσεις</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και</w:t>
      </w:r>
      <w:r w:rsidRPr="00284256">
        <w:rPr>
          <w:rFonts w:asciiTheme="minorHAnsi" w:hAnsiTheme="minorHAnsi" w:cstheme="minorHAnsi"/>
          <w:sz w:val="22"/>
          <w:szCs w:val="22"/>
          <w:lang w:val="en-US"/>
        </w:rPr>
        <w:t xml:space="preserve"> </w:t>
      </w:r>
      <w:proofErr w:type="spellStart"/>
      <w:r w:rsidRPr="00284256">
        <w:rPr>
          <w:rFonts w:asciiTheme="minorHAnsi" w:hAnsiTheme="minorHAnsi" w:cstheme="minorHAnsi"/>
          <w:sz w:val="22"/>
          <w:szCs w:val="22"/>
        </w:rPr>
        <w:t>αναστοχαστικές</w:t>
      </w:r>
      <w:proofErr w:type="spellEnd"/>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διαδικασίες</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στο</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πλαίσιο</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της</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αρχικής</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εκπαίδευσης</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εκπαιδευτικών</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Η</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συμβολή</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της</w:t>
      </w:r>
      <w:r w:rsidRPr="00284256">
        <w:rPr>
          <w:rFonts w:asciiTheme="minorHAnsi" w:hAnsiTheme="minorHAnsi" w:cstheme="minorHAnsi"/>
          <w:sz w:val="22"/>
          <w:szCs w:val="22"/>
          <w:lang w:val="en-US"/>
        </w:rPr>
        <w:t xml:space="preserve"> </w:t>
      </w:r>
      <w:r w:rsidRPr="00284256">
        <w:rPr>
          <w:rFonts w:asciiTheme="minorHAnsi" w:hAnsiTheme="minorHAnsi" w:cstheme="minorHAnsi"/>
          <w:sz w:val="22"/>
          <w:szCs w:val="22"/>
        </w:rPr>
        <w:t>εποπτείας</w:t>
      </w:r>
      <w:r w:rsidRPr="00284256">
        <w:rPr>
          <w:rFonts w:asciiTheme="minorHAnsi" w:hAnsiTheme="minorHAnsi" w:cstheme="minorHAnsi"/>
          <w:sz w:val="22"/>
          <w:szCs w:val="22"/>
          <w:lang w:val="en-US"/>
        </w:rPr>
        <w:t xml:space="preserve">]. In E. </w:t>
      </w:r>
      <w:proofErr w:type="spellStart"/>
      <w:r w:rsidRPr="00284256">
        <w:rPr>
          <w:rFonts w:asciiTheme="minorHAnsi" w:hAnsiTheme="minorHAnsi" w:cstheme="minorHAnsi"/>
          <w:sz w:val="22"/>
          <w:szCs w:val="22"/>
          <w:lang w:val="en-US"/>
        </w:rPr>
        <w:t>Gourgiótou</w:t>
      </w:r>
      <w:proofErr w:type="spellEnd"/>
      <w:r w:rsidRPr="00284256">
        <w:rPr>
          <w:rFonts w:asciiTheme="minorHAnsi" w:hAnsiTheme="minorHAnsi" w:cstheme="minorHAnsi"/>
          <w:sz w:val="22"/>
          <w:szCs w:val="22"/>
          <w:lang w:val="en-US"/>
        </w:rPr>
        <w:t xml:space="preserve">, D. </w:t>
      </w:r>
      <w:proofErr w:type="spellStart"/>
      <w:r w:rsidRPr="00284256">
        <w:rPr>
          <w:rFonts w:asciiTheme="minorHAnsi" w:hAnsiTheme="minorHAnsi" w:cstheme="minorHAnsi"/>
          <w:sz w:val="22"/>
          <w:szCs w:val="22"/>
          <w:lang w:val="en-US"/>
        </w:rPr>
        <w:t>Kakana</w:t>
      </w:r>
      <w:proofErr w:type="spellEnd"/>
      <w:r w:rsidRPr="00284256">
        <w:rPr>
          <w:rFonts w:asciiTheme="minorHAnsi" w:hAnsiTheme="minorHAnsi" w:cstheme="minorHAnsi"/>
          <w:sz w:val="22"/>
          <w:szCs w:val="22"/>
          <w:lang w:val="en-US"/>
        </w:rPr>
        <w:t xml:space="preserve">, M. </w:t>
      </w:r>
      <w:proofErr w:type="spellStart"/>
      <w:r w:rsidRPr="00284256">
        <w:rPr>
          <w:rFonts w:asciiTheme="minorHAnsi" w:hAnsiTheme="minorHAnsi" w:cstheme="minorHAnsi"/>
          <w:sz w:val="22"/>
          <w:szCs w:val="22"/>
          <w:lang w:val="en-US"/>
        </w:rPr>
        <w:t>Birbili</w:t>
      </w:r>
      <w:proofErr w:type="spellEnd"/>
      <w:r w:rsidRPr="00284256">
        <w:rPr>
          <w:rFonts w:asciiTheme="minorHAnsi" w:hAnsiTheme="minorHAnsi" w:cstheme="minorHAnsi"/>
          <w:sz w:val="22"/>
          <w:szCs w:val="22"/>
          <w:lang w:val="en-US"/>
        </w:rPr>
        <w:t xml:space="preserve">, &amp; K. </w:t>
      </w:r>
      <w:proofErr w:type="spellStart"/>
      <w:r w:rsidRPr="00284256">
        <w:rPr>
          <w:rFonts w:asciiTheme="minorHAnsi" w:hAnsiTheme="minorHAnsi" w:cstheme="minorHAnsi"/>
          <w:sz w:val="22"/>
          <w:szCs w:val="22"/>
          <w:lang w:val="en-US"/>
        </w:rPr>
        <w:t>Chatzopoulou</w:t>
      </w:r>
      <w:proofErr w:type="spellEnd"/>
      <w:r w:rsidRPr="00284256">
        <w:rPr>
          <w:rFonts w:asciiTheme="minorHAnsi" w:hAnsiTheme="minorHAnsi" w:cstheme="minorHAnsi"/>
          <w:sz w:val="22"/>
          <w:szCs w:val="22"/>
          <w:lang w:val="en-US"/>
        </w:rPr>
        <w:t xml:space="preserve"> (Eds.), </w:t>
      </w:r>
      <w:r w:rsidRPr="00284256">
        <w:rPr>
          <w:rStyle w:val="Emphasis"/>
          <w:rFonts w:asciiTheme="minorHAnsi" w:hAnsiTheme="minorHAnsi" w:cstheme="minorHAnsi"/>
          <w:sz w:val="22"/>
          <w:szCs w:val="22"/>
          <w:lang w:val="en-US"/>
        </w:rPr>
        <w:t>Teacher education and education departments: 30 years later—Addressing new challenges</w:t>
      </w:r>
      <w:r w:rsidRPr="00284256">
        <w:rPr>
          <w:rFonts w:asciiTheme="minorHAnsi" w:hAnsiTheme="minorHAnsi" w:cstheme="minorHAnsi"/>
          <w:sz w:val="22"/>
          <w:szCs w:val="22"/>
          <w:lang w:val="en-US"/>
        </w:rPr>
        <w:t xml:space="preserve"> </w:t>
      </w:r>
      <w:r w:rsidR="0078532F" w:rsidRPr="00284256">
        <w:rPr>
          <w:rFonts w:asciiTheme="minorHAnsi" w:hAnsiTheme="minorHAnsi" w:cstheme="minorHAnsi"/>
          <w:sz w:val="22"/>
          <w:szCs w:val="22"/>
          <w:lang w:val="en-US"/>
        </w:rPr>
        <w:t xml:space="preserve">(pp. 267–281). Proceedings of the 2nd Panhellenic Conference of the Teaching Practicum Network, Volos, Greece, September 28–30, 2018. </w:t>
      </w:r>
      <w:r w:rsidRPr="00284256">
        <w:rPr>
          <w:rFonts w:asciiTheme="minorHAnsi" w:hAnsiTheme="minorHAnsi" w:cstheme="minorHAnsi"/>
          <w:sz w:val="22"/>
          <w:szCs w:val="22"/>
          <w:lang w:val="en-US"/>
        </w:rPr>
        <w:t>University of Thessaly Press. https://press.uth.gr/wp-content/uploads/2020/08/ebook_praktika-2.pdf [In Greek]</w:t>
      </w:r>
    </w:p>
    <w:p w14:paraId="1CAC5527" w14:textId="410ECC1E" w:rsidR="00F105C6" w:rsidRPr="00284256" w:rsidRDefault="00EE1EC6" w:rsidP="00EE1EC6">
      <w:pPr>
        <w:ind w:firstLine="284"/>
        <w:jc w:val="both"/>
        <w:rPr>
          <w:rFonts w:asciiTheme="minorHAnsi" w:hAnsiTheme="minorHAnsi" w:cstheme="minorHAnsi"/>
          <w:b/>
          <w:bCs/>
          <w:sz w:val="22"/>
          <w:szCs w:val="22"/>
          <w:lang w:val="en-US"/>
        </w:rPr>
      </w:pPr>
      <w:proofErr w:type="spellStart"/>
      <w:r w:rsidRPr="00284256">
        <w:rPr>
          <w:rFonts w:asciiTheme="minorHAnsi" w:hAnsiTheme="minorHAnsi" w:cstheme="minorHAnsi"/>
          <w:bCs/>
          <w:sz w:val="22"/>
          <w:szCs w:val="22"/>
          <w:lang w:val="en-GB" w:eastAsia="el-GR"/>
        </w:rPr>
        <w:t>Toh</w:t>
      </w:r>
      <w:proofErr w:type="spellEnd"/>
      <w:r w:rsidRPr="00284256">
        <w:rPr>
          <w:rFonts w:asciiTheme="minorHAnsi" w:hAnsiTheme="minorHAnsi" w:cstheme="minorHAnsi"/>
          <w:bCs/>
          <w:sz w:val="22"/>
          <w:szCs w:val="22"/>
          <w:lang w:val="en-GB" w:eastAsia="el-GR"/>
        </w:rPr>
        <w:t xml:space="preserve">, R. Q. E., </w:t>
      </w:r>
      <w:proofErr w:type="spellStart"/>
      <w:r w:rsidRPr="00284256">
        <w:rPr>
          <w:rFonts w:asciiTheme="minorHAnsi" w:hAnsiTheme="minorHAnsi" w:cstheme="minorHAnsi"/>
          <w:bCs/>
          <w:sz w:val="22"/>
          <w:szCs w:val="22"/>
          <w:lang w:val="en-GB" w:eastAsia="el-GR"/>
        </w:rPr>
        <w:t>Koh</w:t>
      </w:r>
      <w:proofErr w:type="spellEnd"/>
      <w:r w:rsidRPr="00284256">
        <w:rPr>
          <w:rFonts w:asciiTheme="minorHAnsi" w:hAnsiTheme="minorHAnsi" w:cstheme="minorHAnsi"/>
          <w:bCs/>
          <w:sz w:val="22"/>
          <w:szCs w:val="22"/>
          <w:lang w:val="en-GB" w:eastAsia="el-GR"/>
        </w:rPr>
        <w:t xml:space="preserve">, K. K., </w:t>
      </w:r>
      <w:proofErr w:type="spellStart"/>
      <w:r w:rsidRPr="00284256">
        <w:rPr>
          <w:rFonts w:asciiTheme="minorHAnsi" w:hAnsiTheme="minorHAnsi" w:cstheme="minorHAnsi"/>
          <w:bCs/>
          <w:sz w:val="22"/>
          <w:szCs w:val="22"/>
          <w:lang w:val="en-GB" w:eastAsia="el-GR"/>
        </w:rPr>
        <w:t>Lua</w:t>
      </w:r>
      <w:proofErr w:type="spellEnd"/>
      <w:r w:rsidRPr="00284256">
        <w:rPr>
          <w:rFonts w:asciiTheme="minorHAnsi" w:hAnsiTheme="minorHAnsi" w:cstheme="minorHAnsi"/>
          <w:bCs/>
          <w:sz w:val="22"/>
          <w:szCs w:val="22"/>
          <w:lang w:val="en-GB" w:eastAsia="el-GR"/>
        </w:rPr>
        <w:t xml:space="preserve">, J. K., Wong, R. S. M., </w:t>
      </w:r>
      <w:proofErr w:type="spellStart"/>
      <w:r w:rsidRPr="00284256">
        <w:rPr>
          <w:rFonts w:asciiTheme="minorHAnsi" w:hAnsiTheme="minorHAnsi" w:cstheme="minorHAnsi"/>
          <w:bCs/>
          <w:sz w:val="22"/>
          <w:szCs w:val="22"/>
          <w:lang w:val="en-GB" w:eastAsia="el-GR"/>
        </w:rPr>
        <w:t>Quah</w:t>
      </w:r>
      <w:proofErr w:type="spellEnd"/>
      <w:r w:rsidRPr="00284256">
        <w:rPr>
          <w:rFonts w:asciiTheme="minorHAnsi" w:hAnsiTheme="minorHAnsi" w:cstheme="minorHAnsi"/>
          <w:bCs/>
          <w:sz w:val="22"/>
          <w:szCs w:val="22"/>
          <w:lang w:val="en-GB" w:eastAsia="el-GR"/>
        </w:rPr>
        <w:t xml:space="preserve">, E. L. Y., Panda, A., </w:t>
      </w:r>
      <w:proofErr w:type="spellStart"/>
      <w:r w:rsidRPr="00284256">
        <w:rPr>
          <w:rFonts w:asciiTheme="minorHAnsi" w:hAnsiTheme="minorHAnsi" w:cstheme="minorHAnsi"/>
          <w:bCs/>
          <w:sz w:val="22"/>
          <w:szCs w:val="22"/>
          <w:lang w:val="en-GB" w:eastAsia="el-GR"/>
        </w:rPr>
        <w:t>Ho</w:t>
      </w:r>
      <w:proofErr w:type="spellEnd"/>
      <w:r w:rsidRPr="00284256">
        <w:rPr>
          <w:rFonts w:asciiTheme="minorHAnsi" w:hAnsiTheme="minorHAnsi" w:cstheme="minorHAnsi"/>
          <w:bCs/>
          <w:sz w:val="22"/>
          <w:szCs w:val="22"/>
          <w:lang w:val="en-GB" w:eastAsia="el-GR"/>
        </w:rPr>
        <w:t xml:space="preserve">, C. Y., Lim, N.-A., Ong, Y. T., Chua, K. Z. Y., Ng, V. W. W., Wong, S. L. C. H., Yeo, L. Y. X., See, S. Y., </w:t>
      </w:r>
      <w:proofErr w:type="spellStart"/>
      <w:r w:rsidRPr="00284256">
        <w:rPr>
          <w:rFonts w:asciiTheme="minorHAnsi" w:hAnsiTheme="minorHAnsi" w:cstheme="minorHAnsi"/>
          <w:bCs/>
          <w:sz w:val="22"/>
          <w:szCs w:val="22"/>
          <w:lang w:val="en-GB" w:eastAsia="el-GR"/>
        </w:rPr>
        <w:t>Teo</w:t>
      </w:r>
      <w:proofErr w:type="spellEnd"/>
      <w:r w:rsidRPr="00284256">
        <w:rPr>
          <w:rFonts w:asciiTheme="minorHAnsi" w:hAnsiTheme="minorHAnsi" w:cstheme="minorHAnsi"/>
          <w:bCs/>
          <w:sz w:val="22"/>
          <w:szCs w:val="22"/>
          <w:lang w:val="en-GB" w:eastAsia="el-GR"/>
        </w:rPr>
        <w:t xml:space="preserve">, J. J. Y., </w:t>
      </w:r>
      <w:proofErr w:type="spellStart"/>
      <w:r w:rsidRPr="00284256">
        <w:rPr>
          <w:rFonts w:asciiTheme="minorHAnsi" w:hAnsiTheme="minorHAnsi" w:cstheme="minorHAnsi"/>
          <w:bCs/>
          <w:sz w:val="22"/>
          <w:szCs w:val="22"/>
          <w:lang w:val="en-GB" w:eastAsia="el-GR"/>
        </w:rPr>
        <w:t>Renganathan</w:t>
      </w:r>
      <w:proofErr w:type="spellEnd"/>
      <w:r w:rsidRPr="00284256">
        <w:rPr>
          <w:rFonts w:asciiTheme="minorHAnsi" w:hAnsiTheme="minorHAnsi" w:cstheme="minorHAnsi"/>
          <w:bCs/>
          <w:sz w:val="22"/>
          <w:szCs w:val="22"/>
          <w:lang w:val="en-GB" w:eastAsia="el-GR"/>
        </w:rPr>
        <w:t xml:space="preserve">, Y., Chin, A. M. C., &amp; Krishna, L. K. R. (2022). The role of mentoring, supervision, coaching, teaching and instruction on professional identity formation: a systematic scoping review. </w:t>
      </w:r>
      <w:r w:rsidRPr="00284256">
        <w:rPr>
          <w:rFonts w:asciiTheme="minorHAnsi" w:hAnsiTheme="minorHAnsi" w:cstheme="minorHAnsi"/>
          <w:bCs/>
          <w:i/>
          <w:iCs/>
          <w:sz w:val="22"/>
          <w:szCs w:val="22"/>
          <w:lang w:val="en-GB" w:eastAsia="el-GR"/>
        </w:rPr>
        <w:t>BMC Medical Education</w:t>
      </w:r>
      <w:r w:rsidRPr="00284256">
        <w:rPr>
          <w:rFonts w:asciiTheme="minorHAnsi" w:hAnsiTheme="minorHAnsi" w:cstheme="minorHAnsi"/>
          <w:bCs/>
          <w:sz w:val="22"/>
          <w:szCs w:val="22"/>
          <w:lang w:val="en-GB" w:eastAsia="el-GR"/>
        </w:rPr>
        <w:t xml:space="preserve">, </w:t>
      </w:r>
      <w:r w:rsidRPr="00284256">
        <w:rPr>
          <w:rFonts w:asciiTheme="minorHAnsi" w:hAnsiTheme="minorHAnsi" w:cstheme="minorHAnsi"/>
          <w:bCs/>
          <w:i/>
          <w:iCs/>
          <w:sz w:val="22"/>
          <w:szCs w:val="22"/>
          <w:lang w:val="en-GB" w:eastAsia="el-GR"/>
        </w:rPr>
        <w:t>22</w:t>
      </w:r>
      <w:r w:rsidR="000E183F" w:rsidRPr="00284256">
        <w:rPr>
          <w:rFonts w:asciiTheme="minorHAnsi" w:hAnsiTheme="minorHAnsi" w:cstheme="minorHAnsi"/>
          <w:bCs/>
          <w:sz w:val="22"/>
          <w:szCs w:val="22"/>
          <w:lang w:val="en-GB" w:eastAsia="el-GR"/>
        </w:rPr>
        <w:t>(531)</w:t>
      </w:r>
      <w:r w:rsidRPr="00284256">
        <w:rPr>
          <w:rFonts w:asciiTheme="minorHAnsi" w:hAnsiTheme="minorHAnsi" w:cstheme="minorHAnsi"/>
          <w:bCs/>
          <w:sz w:val="22"/>
          <w:szCs w:val="22"/>
          <w:lang w:val="en-GB" w:eastAsia="el-GR"/>
        </w:rPr>
        <w:t xml:space="preserve">. </w:t>
      </w:r>
      <w:r w:rsidR="005055F3" w:rsidRPr="00284256">
        <w:rPr>
          <w:rFonts w:asciiTheme="minorHAnsi" w:hAnsiTheme="minorHAnsi" w:cstheme="minorHAnsi"/>
          <w:color w:val="222222"/>
          <w:sz w:val="22"/>
          <w:szCs w:val="22"/>
          <w:shd w:val="clear" w:color="auto" w:fill="FFFFFF"/>
        </w:rPr>
        <w:t>https://doi.org/10.1186/s12909-022-03589-z</w:t>
      </w:r>
      <w:r w:rsidR="005055F3" w:rsidRPr="00284256">
        <w:rPr>
          <w:rFonts w:asciiTheme="minorHAnsi" w:hAnsiTheme="minorHAnsi" w:cstheme="minorHAnsi"/>
          <w:color w:val="222222"/>
          <w:sz w:val="22"/>
          <w:szCs w:val="22"/>
          <w:shd w:val="clear" w:color="auto" w:fill="FFFFFF"/>
          <w:lang w:val="en-US"/>
        </w:rPr>
        <w:t xml:space="preserve"> </w:t>
      </w:r>
    </w:p>
    <w:sectPr w:rsidR="00F105C6" w:rsidRPr="00284256" w:rsidSect="00F76AC5">
      <w:headerReference w:type="even" r:id="rId7"/>
      <w:headerReference w:type="default" r:id="rId8"/>
      <w:footerReference w:type="even" r:id="rId9"/>
      <w:footerReference w:type="default" r:id="rId10"/>
      <w:headerReference w:type="first" r:id="rId11"/>
      <w:footerReference w:type="first" r:id="rId12"/>
      <w:pgSz w:w="11906" w:h="16838" w:code="9"/>
      <w:pgMar w:top="1440" w:right="1797" w:bottom="1440" w:left="1797" w:header="709" w:footer="72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C9EA6" w14:textId="77777777" w:rsidR="00B93615" w:rsidRDefault="00B93615">
      <w:r>
        <w:separator/>
      </w:r>
    </w:p>
  </w:endnote>
  <w:endnote w:type="continuationSeparator" w:id="0">
    <w:p w14:paraId="3BE79AA8" w14:textId="77777777" w:rsidR="00B93615" w:rsidRDefault="00B93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ohit Hindi">
    <w:altName w:val="Times New Roman"/>
    <w:charset w:val="01"/>
    <w:family w:val="auto"/>
    <w:pitch w:val="default"/>
  </w:font>
  <w:font w:name="Sylfaen">
    <w:panose1 w:val="010A0502050306030303"/>
    <w:charset w:val="A1"/>
    <w:family w:val="roman"/>
    <w:pitch w:val="variable"/>
    <w:sig w:usb0="04000687" w:usb1="00000000"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Times">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226F2" w14:textId="0E3F66A2" w:rsidR="00E97D54" w:rsidRPr="00242F27" w:rsidRDefault="00E97D54" w:rsidP="00242F2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F520E" w14:textId="77777777" w:rsidR="00242F27" w:rsidRDefault="00242F2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C26DC" w14:textId="6FF4AD5D" w:rsidR="00E97D54" w:rsidRPr="00242F27" w:rsidRDefault="00E97D54" w:rsidP="00242F2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382DD" w14:textId="77777777" w:rsidR="00B93615" w:rsidRDefault="00B93615">
      <w:r>
        <w:separator/>
      </w:r>
    </w:p>
  </w:footnote>
  <w:footnote w:type="continuationSeparator" w:id="0">
    <w:p w14:paraId="326914F3" w14:textId="77777777" w:rsidR="00B93615" w:rsidRDefault="00B936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7E117" w14:textId="18ABB4AF" w:rsidR="00E97D54" w:rsidRPr="00242F27" w:rsidRDefault="00E97D54" w:rsidP="00242F2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2BD69" w14:textId="77777777" w:rsidR="00242F27" w:rsidRDefault="00242F2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F808C" w14:textId="77777777" w:rsidR="00242F27" w:rsidRDefault="00242F2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bullet"/>
      <w:pStyle w:val="a"/>
      <w:lvlText w:val=""/>
      <w:lvlJc w:val="left"/>
      <w:pPr>
        <w:tabs>
          <w:tab w:val="num" w:pos="360"/>
        </w:tabs>
        <w:ind w:left="0" w:firstLine="0"/>
      </w:pPr>
      <w:rPr>
        <w:rFonts w:ascii="Wingdings" w:hAnsi="Wingdings" w:cs="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cs="Wingdings"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cs="Wingdings" w:hint="default"/>
      </w:rPr>
    </w:lvl>
  </w:abstractNum>
  <w:abstractNum w:abstractNumId="2" w15:restartNumberingAfterBreak="0">
    <w:nsid w:val="0ECB3257"/>
    <w:multiLevelType w:val="hybridMultilevel"/>
    <w:tmpl w:val="C5D4DCB6"/>
    <w:lvl w:ilvl="0" w:tplc="E5B02100">
      <w:start w:val="1"/>
      <w:numFmt w:val="bullet"/>
      <w:pStyle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46DC1CDC"/>
    <w:multiLevelType w:val="hybridMultilevel"/>
    <w:tmpl w:val="9A4E12C6"/>
    <w:lvl w:ilvl="0" w:tplc="B920AC46">
      <w:start w:val="1"/>
      <w:numFmt w:val="decimal"/>
      <w:lvlText w:val="%1."/>
      <w:lvlJc w:val="left"/>
      <w:pPr>
        <w:ind w:left="1364" w:hanging="360"/>
      </w:pPr>
      <w:rPr>
        <w:rFonts w:hint="default"/>
      </w:rPr>
    </w:lvl>
    <w:lvl w:ilvl="1" w:tplc="04080019" w:tentative="1">
      <w:start w:val="1"/>
      <w:numFmt w:val="lowerLetter"/>
      <w:lvlText w:val="%2."/>
      <w:lvlJc w:val="left"/>
      <w:pPr>
        <w:ind w:left="2084" w:hanging="360"/>
      </w:pPr>
    </w:lvl>
    <w:lvl w:ilvl="2" w:tplc="0408001B" w:tentative="1">
      <w:start w:val="1"/>
      <w:numFmt w:val="lowerRoman"/>
      <w:lvlText w:val="%3."/>
      <w:lvlJc w:val="right"/>
      <w:pPr>
        <w:ind w:left="2804" w:hanging="180"/>
      </w:pPr>
    </w:lvl>
    <w:lvl w:ilvl="3" w:tplc="0408000F" w:tentative="1">
      <w:start w:val="1"/>
      <w:numFmt w:val="decimal"/>
      <w:lvlText w:val="%4."/>
      <w:lvlJc w:val="left"/>
      <w:pPr>
        <w:ind w:left="3524" w:hanging="360"/>
      </w:pPr>
    </w:lvl>
    <w:lvl w:ilvl="4" w:tplc="04080019" w:tentative="1">
      <w:start w:val="1"/>
      <w:numFmt w:val="lowerLetter"/>
      <w:lvlText w:val="%5."/>
      <w:lvlJc w:val="left"/>
      <w:pPr>
        <w:ind w:left="4244" w:hanging="360"/>
      </w:pPr>
    </w:lvl>
    <w:lvl w:ilvl="5" w:tplc="0408001B" w:tentative="1">
      <w:start w:val="1"/>
      <w:numFmt w:val="lowerRoman"/>
      <w:lvlText w:val="%6."/>
      <w:lvlJc w:val="right"/>
      <w:pPr>
        <w:ind w:left="4964" w:hanging="180"/>
      </w:pPr>
    </w:lvl>
    <w:lvl w:ilvl="6" w:tplc="0408000F" w:tentative="1">
      <w:start w:val="1"/>
      <w:numFmt w:val="decimal"/>
      <w:lvlText w:val="%7."/>
      <w:lvlJc w:val="left"/>
      <w:pPr>
        <w:ind w:left="5684" w:hanging="360"/>
      </w:pPr>
    </w:lvl>
    <w:lvl w:ilvl="7" w:tplc="04080019" w:tentative="1">
      <w:start w:val="1"/>
      <w:numFmt w:val="lowerLetter"/>
      <w:lvlText w:val="%8."/>
      <w:lvlJc w:val="left"/>
      <w:pPr>
        <w:ind w:left="6404" w:hanging="360"/>
      </w:pPr>
    </w:lvl>
    <w:lvl w:ilvl="8" w:tplc="0408001B" w:tentative="1">
      <w:start w:val="1"/>
      <w:numFmt w:val="lowerRoman"/>
      <w:lvlText w:val="%9."/>
      <w:lvlJc w:val="right"/>
      <w:pPr>
        <w:ind w:left="7124" w:hanging="180"/>
      </w:pPr>
    </w:lvl>
  </w:abstractNum>
  <w:abstractNum w:abstractNumId="4" w15:restartNumberingAfterBreak="0">
    <w:nsid w:val="54EA6775"/>
    <w:multiLevelType w:val="multilevel"/>
    <w:tmpl w:val="6F48B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EF5744"/>
    <w:multiLevelType w:val="hybridMultilevel"/>
    <w:tmpl w:val="AAE6E5CA"/>
    <w:lvl w:ilvl="0" w:tplc="DD14F376">
      <w:start w:val="1"/>
      <w:numFmt w:val="decimal"/>
      <w:lvlText w:val="%1."/>
      <w:lvlJc w:val="left"/>
      <w:pPr>
        <w:ind w:left="1364" w:hanging="360"/>
      </w:pPr>
      <w:rPr>
        <w:rFonts w:hint="default"/>
      </w:rPr>
    </w:lvl>
    <w:lvl w:ilvl="1" w:tplc="04080019" w:tentative="1">
      <w:start w:val="1"/>
      <w:numFmt w:val="lowerLetter"/>
      <w:lvlText w:val="%2."/>
      <w:lvlJc w:val="left"/>
      <w:pPr>
        <w:ind w:left="2084" w:hanging="360"/>
      </w:pPr>
    </w:lvl>
    <w:lvl w:ilvl="2" w:tplc="0408001B" w:tentative="1">
      <w:start w:val="1"/>
      <w:numFmt w:val="lowerRoman"/>
      <w:lvlText w:val="%3."/>
      <w:lvlJc w:val="right"/>
      <w:pPr>
        <w:ind w:left="2804" w:hanging="180"/>
      </w:pPr>
    </w:lvl>
    <w:lvl w:ilvl="3" w:tplc="0408000F" w:tentative="1">
      <w:start w:val="1"/>
      <w:numFmt w:val="decimal"/>
      <w:lvlText w:val="%4."/>
      <w:lvlJc w:val="left"/>
      <w:pPr>
        <w:ind w:left="3524" w:hanging="360"/>
      </w:pPr>
    </w:lvl>
    <w:lvl w:ilvl="4" w:tplc="04080019" w:tentative="1">
      <w:start w:val="1"/>
      <w:numFmt w:val="lowerLetter"/>
      <w:lvlText w:val="%5."/>
      <w:lvlJc w:val="left"/>
      <w:pPr>
        <w:ind w:left="4244" w:hanging="360"/>
      </w:pPr>
    </w:lvl>
    <w:lvl w:ilvl="5" w:tplc="0408001B" w:tentative="1">
      <w:start w:val="1"/>
      <w:numFmt w:val="lowerRoman"/>
      <w:lvlText w:val="%6."/>
      <w:lvlJc w:val="right"/>
      <w:pPr>
        <w:ind w:left="4964" w:hanging="180"/>
      </w:pPr>
    </w:lvl>
    <w:lvl w:ilvl="6" w:tplc="0408000F" w:tentative="1">
      <w:start w:val="1"/>
      <w:numFmt w:val="decimal"/>
      <w:lvlText w:val="%7."/>
      <w:lvlJc w:val="left"/>
      <w:pPr>
        <w:ind w:left="5684" w:hanging="360"/>
      </w:pPr>
    </w:lvl>
    <w:lvl w:ilvl="7" w:tplc="04080019" w:tentative="1">
      <w:start w:val="1"/>
      <w:numFmt w:val="lowerLetter"/>
      <w:lvlText w:val="%8."/>
      <w:lvlJc w:val="left"/>
      <w:pPr>
        <w:ind w:left="6404" w:hanging="360"/>
      </w:pPr>
    </w:lvl>
    <w:lvl w:ilvl="8" w:tplc="0408001B" w:tentative="1">
      <w:start w:val="1"/>
      <w:numFmt w:val="lowerRoman"/>
      <w:lvlText w:val="%9."/>
      <w:lvlJc w:val="right"/>
      <w:pPr>
        <w:ind w:left="7124" w:hanging="180"/>
      </w:pPr>
    </w:lvl>
  </w:abstractNum>
  <w:abstractNum w:abstractNumId="6" w15:restartNumberingAfterBreak="0">
    <w:nsid w:val="6FFD15BD"/>
    <w:multiLevelType w:val="hybridMultilevel"/>
    <w:tmpl w:val="4A16A69C"/>
    <w:lvl w:ilvl="0" w:tplc="0408000F">
      <w:start w:val="1"/>
      <w:numFmt w:val="decimal"/>
      <w:lvlText w:val="%1."/>
      <w:lvlJc w:val="left"/>
      <w:pPr>
        <w:ind w:left="720" w:hanging="360"/>
      </w:p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2"/>
  </w:num>
  <w:num w:numId="32">
    <w:abstractNumId w:val="6"/>
    <w:lvlOverride w:ilvl="0">
      <w:startOverride w:val="1"/>
    </w:lvlOverride>
    <w:lvlOverride w:ilvl="1"/>
    <w:lvlOverride w:ilvl="2"/>
    <w:lvlOverride w:ilvl="3"/>
    <w:lvlOverride w:ilvl="4"/>
    <w:lvlOverride w:ilvl="5"/>
    <w:lvlOverride w:ilvl="6"/>
    <w:lvlOverride w:ilvl="7"/>
    <w:lvlOverride w:ilvl="8"/>
  </w:num>
  <w:num w:numId="33">
    <w:abstractNumId w:val="4"/>
  </w:num>
  <w:num w:numId="34">
    <w:abstractNumId w:val="3"/>
  </w:num>
  <w:num w:numId="35">
    <w:abstractNumId w:val="5"/>
  </w:num>
  <w:num w:numId="36">
    <w:abstractNumId w:val="0"/>
  </w:num>
  <w:num w:numId="37">
    <w:abstractNumId w:val="0"/>
  </w:num>
  <w:num w:numId="38">
    <w:abstractNumId w:val="0"/>
  </w:num>
  <w:num w:numId="39">
    <w:abstractNumId w:val="0"/>
  </w:num>
  <w:num w:numId="40">
    <w:abstractNumId w:val="0"/>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E1F"/>
    <w:rsid w:val="000016A7"/>
    <w:rsid w:val="00004590"/>
    <w:rsid w:val="00032498"/>
    <w:rsid w:val="0005580D"/>
    <w:rsid w:val="00076071"/>
    <w:rsid w:val="00082C48"/>
    <w:rsid w:val="00090AFE"/>
    <w:rsid w:val="000B02E8"/>
    <w:rsid w:val="000C6ABC"/>
    <w:rsid w:val="000E183F"/>
    <w:rsid w:val="001040CC"/>
    <w:rsid w:val="00104E1F"/>
    <w:rsid w:val="0014704A"/>
    <w:rsid w:val="00190962"/>
    <w:rsid w:val="0019503A"/>
    <w:rsid w:val="001D54B9"/>
    <w:rsid w:val="001E2AC5"/>
    <w:rsid w:val="001F168E"/>
    <w:rsid w:val="00242F27"/>
    <w:rsid w:val="002611F5"/>
    <w:rsid w:val="00261B57"/>
    <w:rsid w:val="0026520E"/>
    <w:rsid w:val="00271EBA"/>
    <w:rsid w:val="00284256"/>
    <w:rsid w:val="002C6CEC"/>
    <w:rsid w:val="002D57F1"/>
    <w:rsid w:val="002D6DE2"/>
    <w:rsid w:val="00324DE6"/>
    <w:rsid w:val="003262E0"/>
    <w:rsid w:val="0035481F"/>
    <w:rsid w:val="003B709C"/>
    <w:rsid w:val="003C2864"/>
    <w:rsid w:val="00432230"/>
    <w:rsid w:val="0043631E"/>
    <w:rsid w:val="0045391B"/>
    <w:rsid w:val="004B3BB8"/>
    <w:rsid w:val="004C10B3"/>
    <w:rsid w:val="005055F3"/>
    <w:rsid w:val="005E5179"/>
    <w:rsid w:val="005E667D"/>
    <w:rsid w:val="005F1D8C"/>
    <w:rsid w:val="005F3E50"/>
    <w:rsid w:val="00603791"/>
    <w:rsid w:val="00624CC0"/>
    <w:rsid w:val="00631F80"/>
    <w:rsid w:val="006501FF"/>
    <w:rsid w:val="006832BB"/>
    <w:rsid w:val="006A60CE"/>
    <w:rsid w:val="006C42FD"/>
    <w:rsid w:val="00706A43"/>
    <w:rsid w:val="00716458"/>
    <w:rsid w:val="00723973"/>
    <w:rsid w:val="00737E8B"/>
    <w:rsid w:val="00775053"/>
    <w:rsid w:val="00777099"/>
    <w:rsid w:val="0077786E"/>
    <w:rsid w:val="0078532F"/>
    <w:rsid w:val="0079501B"/>
    <w:rsid w:val="007B78A6"/>
    <w:rsid w:val="007D296A"/>
    <w:rsid w:val="00837415"/>
    <w:rsid w:val="00877AF1"/>
    <w:rsid w:val="008D0A74"/>
    <w:rsid w:val="0090168B"/>
    <w:rsid w:val="00923210"/>
    <w:rsid w:val="00927A59"/>
    <w:rsid w:val="00927C3E"/>
    <w:rsid w:val="009557D8"/>
    <w:rsid w:val="0096029A"/>
    <w:rsid w:val="009761A4"/>
    <w:rsid w:val="00997CA2"/>
    <w:rsid w:val="009A2319"/>
    <w:rsid w:val="009A4AB2"/>
    <w:rsid w:val="009A600E"/>
    <w:rsid w:val="009D3CF2"/>
    <w:rsid w:val="00A15856"/>
    <w:rsid w:val="00A274C2"/>
    <w:rsid w:val="00A33E1E"/>
    <w:rsid w:val="00A4696A"/>
    <w:rsid w:val="00A52C3B"/>
    <w:rsid w:val="00AD310B"/>
    <w:rsid w:val="00AE4D5B"/>
    <w:rsid w:val="00B30FAF"/>
    <w:rsid w:val="00B42BCF"/>
    <w:rsid w:val="00B46CA8"/>
    <w:rsid w:val="00B618CF"/>
    <w:rsid w:val="00B64510"/>
    <w:rsid w:val="00B73A37"/>
    <w:rsid w:val="00B93615"/>
    <w:rsid w:val="00BB19DD"/>
    <w:rsid w:val="00BD29CB"/>
    <w:rsid w:val="00BD5306"/>
    <w:rsid w:val="00BF1599"/>
    <w:rsid w:val="00C0436D"/>
    <w:rsid w:val="00C16CD1"/>
    <w:rsid w:val="00C3565E"/>
    <w:rsid w:val="00C42B37"/>
    <w:rsid w:val="00C56CE5"/>
    <w:rsid w:val="00CA1B64"/>
    <w:rsid w:val="00CA27E4"/>
    <w:rsid w:val="00CB71D6"/>
    <w:rsid w:val="00CD4E24"/>
    <w:rsid w:val="00CE4DF4"/>
    <w:rsid w:val="00CF18DD"/>
    <w:rsid w:val="00CF2E39"/>
    <w:rsid w:val="00D33F3F"/>
    <w:rsid w:val="00D37393"/>
    <w:rsid w:val="00D42432"/>
    <w:rsid w:val="00D66AB1"/>
    <w:rsid w:val="00D72C06"/>
    <w:rsid w:val="00D72C9F"/>
    <w:rsid w:val="00DA7CA4"/>
    <w:rsid w:val="00DD2E38"/>
    <w:rsid w:val="00DD5662"/>
    <w:rsid w:val="00DF61EF"/>
    <w:rsid w:val="00DF6DCD"/>
    <w:rsid w:val="00E03EEC"/>
    <w:rsid w:val="00E1458B"/>
    <w:rsid w:val="00E64F72"/>
    <w:rsid w:val="00E70830"/>
    <w:rsid w:val="00E97D54"/>
    <w:rsid w:val="00ED00FB"/>
    <w:rsid w:val="00ED2CD3"/>
    <w:rsid w:val="00ED3880"/>
    <w:rsid w:val="00ED60A7"/>
    <w:rsid w:val="00EE18ED"/>
    <w:rsid w:val="00EE1EC6"/>
    <w:rsid w:val="00EE3181"/>
    <w:rsid w:val="00EE4E9A"/>
    <w:rsid w:val="00EF3351"/>
    <w:rsid w:val="00F105C6"/>
    <w:rsid w:val="00F11007"/>
    <w:rsid w:val="00F12026"/>
    <w:rsid w:val="00F142E6"/>
    <w:rsid w:val="00F34F36"/>
    <w:rsid w:val="00F40199"/>
    <w:rsid w:val="00F607E0"/>
    <w:rsid w:val="00F63962"/>
    <w:rsid w:val="00F76AC5"/>
    <w:rsid w:val="00F97117"/>
    <w:rsid w:val="00FA73A2"/>
    <w:rsid w:val="00FB5C73"/>
    <w:rsid w:val="00FC12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F8A11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Cs w:val="24"/>
      <w:lang w:eastAsia="zh-CN"/>
    </w:rPr>
  </w:style>
  <w:style w:type="paragraph" w:styleId="Heading1">
    <w:name w:val="heading 1"/>
    <w:basedOn w:val="Normal"/>
    <w:next w:val="Normal"/>
    <w:qFormat/>
    <w:pPr>
      <w:keepNext/>
      <w:numPr>
        <w:numId w:val="1"/>
      </w:numPr>
      <w:jc w:val="both"/>
      <w:outlineLvl w:val="0"/>
    </w:pPr>
    <w:rPr>
      <w:rFonts w:ascii="Cambria" w:hAnsi="Cambria"/>
      <w:sz w:val="24"/>
    </w:rPr>
  </w:style>
  <w:style w:type="paragraph" w:styleId="Heading2">
    <w:name w:val="heading 2"/>
    <w:basedOn w:val="Normal"/>
    <w:next w:val="Normal"/>
    <w:qFormat/>
    <w:pPr>
      <w:keepNext/>
      <w:numPr>
        <w:ilvl w:val="1"/>
        <w:numId w:val="1"/>
      </w:numPr>
      <w:outlineLvl w:val="1"/>
    </w:pPr>
    <w:rPr>
      <w:rFonts w:ascii="Cambria" w:hAnsi="Cambria"/>
      <w:sz w:val="24"/>
    </w:rPr>
  </w:style>
  <w:style w:type="paragraph" w:styleId="Heading3">
    <w:name w:val="heading 3"/>
    <w:basedOn w:val="Normal"/>
    <w:next w:val="Normal"/>
    <w:qFormat/>
    <w:pPr>
      <w:keepNext/>
      <w:numPr>
        <w:ilvl w:val="2"/>
        <w:numId w:val="1"/>
      </w:numPr>
      <w:outlineLvl w:val="2"/>
    </w:pPr>
    <w:rPr>
      <w:rFonts w:ascii="Cambria" w:hAnsi="Cambria"/>
      <w:sz w:val="24"/>
    </w:rPr>
  </w:style>
  <w:style w:type="paragraph" w:styleId="Heading4">
    <w:name w:val="heading 4"/>
    <w:basedOn w:val="Normal"/>
    <w:next w:val="Normal"/>
    <w:qFormat/>
    <w:pPr>
      <w:keepNext/>
      <w:numPr>
        <w:ilvl w:val="3"/>
        <w:numId w:val="1"/>
      </w:numPr>
      <w:outlineLvl w:val="3"/>
    </w:pPr>
    <w:rPr>
      <w:rFonts w:ascii="Cambria" w:hAnsi="Cambria"/>
      <w:sz w:val="24"/>
    </w:rPr>
  </w:style>
  <w:style w:type="paragraph" w:styleId="Heading5">
    <w:name w:val="heading 5"/>
    <w:basedOn w:val="Normal"/>
    <w:next w:val="Normal"/>
    <w:qFormat/>
    <w:pPr>
      <w:keepNext/>
      <w:numPr>
        <w:ilvl w:val="4"/>
        <w:numId w:val="1"/>
      </w:numPr>
      <w:jc w:val="center"/>
      <w:outlineLvl w:val="4"/>
    </w:pPr>
    <w:rPr>
      <w:rFonts w:ascii="Cambria" w:hAnsi="Cambria"/>
      <w:sz w:val="24"/>
    </w:rPr>
  </w:style>
  <w:style w:type="paragraph" w:styleId="Heading6">
    <w:name w:val="heading 6"/>
    <w:basedOn w:val="Normal"/>
    <w:next w:val="Normal"/>
    <w:qFormat/>
    <w:pPr>
      <w:keepNext/>
      <w:numPr>
        <w:ilvl w:val="5"/>
        <w:numId w:val="1"/>
      </w:numPr>
      <w:spacing w:after="120"/>
      <w:jc w:val="center"/>
      <w:outlineLvl w:val="5"/>
    </w:pPr>
    <w:rPr>
      <w:rFonts w:ascii="Cambria" w:hAnsi="Cambria"/>
      <w:sz w:val="24"/>
    </w:rPr>
  </w:style>
  <w:style w:type="paragraph" w:styleId="Heading7">
    <w:name w:val="heading 7"/>
    <w:basedOn w:val="Normal"/>
    <w:next w:val="Normal"/>
    <w:qFormat/>
    <w:pPr>
      <w:numPr>
        <w:ilvl w:val="6"/>
        <w:numId w:val="1"/>
      </w:numPr>
      <w:spacing w:before="240" w:after="60"/>
      <w:outlineLvl w:val="6"/>
    </w:pPr>
    <w:rPr>
      <w:rFonts w:ascii="Cambria" w:hAnsi="Cambria"/>
      <w:sz w:val="24"/>
    </w:rPr>
  </w:style>
  <w:style w:type="paragraph" w:styleId="Heading8">
    <w:name w:val="heading 8"/>
    <w:basedOn w:val="Normal"/>
    <w:next w:val="Normal"/>
    <w:qFormat/>
    <w:pPr>
      <w:numPr>
        <w:ilvl w:val="7"/>
        <w:numId w:val="1"/>
      </w:numPr>
      <w:spacing w:before="240" w:after="60"/>
      <w:outlineLvl w:val="7"/>
    </w:pPr>
    <w:rPr>
      <w:rFonts w:ascii="Cambria" w:hAnsi="Cambria"/>
      <w:sz w:val="24"/>
    </w:rPr>
  </w:style>
  <w:style w:type="paragraph" w:styleId="Heading9">
    <w:name w:val="heading 9"/>
    <w:basedOn w:val="Normal"/>
    <w:next w:val="Normal"/>
    <w:qFormat/>
    <w:pPr>
      <w:numPr>
        <w:ilvl w:val="8"/>
        <w:numId w:val="1"/>
      </w:numPr>
      <w:spacing w:before="240" w:after="60"/>
      <w:outlineLvl w:val="8"/>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sz w:val="18"/>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Symbol" w:hAnsi="Symbol" w:cs="Symbol" w:hint="default"/>
      <w:sz w:val="18"/>
    </w:rPr>
  </w:style>
  <w:style w:type="character" w:customStyle="1" w:styleId="WW8Num2z1">
    <w:name w:val="WW8Num2z1"/>
    <w:rPr>
      <w:rFonts w:cs="Times New Roman"/>
    </w:rPr>
  </w:style>
  <w:style w:type="character" w:customStyle="1" w:styleId="WW8Num3z0">
    <w:name w:val="WW8Num3z0"/>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1">
    <w:name w:val="Προεπιλεγμένη γραμματοσειρά1"/>
  </w:style>
  <w:style w:type="character" w:customStyle="1" w:styleId="spelle">
    <w:name w:val="spelle"/>
    <w:rPr>
      <w:rFonts w:cs="Times New Roman"/>
    </w:rPr>
  </w:style>
  <w:style w:type="character" w:styleId="Hyperlink">
    <w:name w:val="Hyperlink"/>
    <w:rPr>
      <w:rFonts w:cs="Times New Roman"/>
      <w:color w:val="0000FF"/>
      <w:u w:val="single"/>
    </w:rPr>
  </w:style>
  <w:style w:type="character" w:customStyle="1" w:styleId="BodyTextIndentChar">
    <w:name w:val="Body Text Indent Char"/>
    <w:rPr>
      <w:rFonts w:cs="Times New Roman"/>
      <w:sz w:val="24"/>
      <w:szCs w:val="24"/>
    </w:rPr>
  </w:style>
  <w:style w:type="character" w:customStyle="1" w:styleId="10">
    <w:name w:val="Παραπομπή σχολίου1"/>
    <w:rPr>
      <w:rFonts w:cs="Times New Roman"/>
      <w:sz w:val="16"/>
    </w:rPr>
  </w:style>
  <w:style w:type="character" w:customStyle="1" w:styleId="1Char">
    <w:name w:val="Επικεφαλίδα 1 Char"/>
    <w:rPr>
      <w:rFonts w:ascii="Cambria" w:hAnsi="Cambria" w:cs="Times New Roman"/>
      <w:sz w:val="24"/>
      <w:szCs w:val="24"/>
    </w:rPr>
  </w:style>
  <w:style w:type="character" w:styleId="PageNumber">
    <w:name w:val="page number"/>
    <w:rPr>
      <w:rFonts w:cs="Times New Roman"/>
    </w:rPr>
  </w:style>
  <w:style w:type="character" w:customStyle="1" w:styleId="m">
    <w:name w:val="m"/>
    <w:rPr>
      <w:rFonts w:cs="Times New Roman"/>
    </w:rPr>
  </w:style>
  <w:style w:type="character" w:styleId="Strong">
    <w:name w:val="Strong"/>
    <w:uiPriority w:val="22"/>
    <w:qFormat/>
    <w:rPr>
      <w:rFonts w:cs="Times New Roman"/>
      <w:b/>
    </w:rPr>
  </w:style>
  <w:style w:type="character" w:customStyle="1" w:styleId="grame">
    <w:name w:val="grame"/>
    <w:rPr>
      <w:rFonts w:cs="Times New Roman"/>
    </w:rPr>
  </w:style>
  <w:style w:type="character" w:customStyle="1" w:styleId="Char">
    <w:name w:val="Υποσέλιδο Char"/>
    <w:rPr>
      <w:rFonts w:ascii="Cambria" w:hAnsi="Cambria" w:cs="Cambria"/>
      <w:sz w:val="24"/>
      <w:szCs w:val="24"/>
      <w:lang w:val="el-GR"/>
    </w:rPr>
  </w:style>
  <w:style w:type="character" w:customStyle="1" w:styleId="Char0">
    <w:name w:val="Κεφαλίδα Char"/>
    <w:rPr>
      <w:rFonts w:ascii="Cambria" w:hAnsi="Cambria" w:cs="Cambria"/>
      <w:sz w:val="24"/>
      <w:szCs w:val="24"/>
    </w:rPr>
  </w:style>
  <w:style w:type="paragraph" w:customStyle="1" w:styleId="a0">
    <w:name w:val="Επικεφαλίδα"/>
    <w:basedOn w:val="Normal"/>
    <w:next w:val="BodyText"/>
    <w:pPr>
      <w:jc w:val="center"/>
    </w:pPr>
    <w:rPr>
      <w:rFonts w:ascii="Cambria" w:hAnsi="Cambria"/>
      <w:sz w:val="24"/>
    </w:rPr>
  </w:style>
  <w:style w:type="paragraph" w:styleId="BodyText">
    <w:name w:val="Body Text"/>
    <w:basedOn w:val="Normal"/>
    <w:pPr>
      <w:spacing w:after="120" w:line="360" w:lineRule="auto"/>
      <w:ind w:firstLine="284"/>
      <w:jc w:val="both"/>
    </w:pPr>
    <w:rPr>
      <w:rFonts w:ascii="Cambria" w:hAnsi="Cambria"/>
      <w:sz w:val="24"/>
    </w:r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sz w:val="24"/>
    </w:rPr>
  </w:style>
  <w:style w:type="paragraph" w:customStyle="1" w:styleId="a1">
    <w:name w:val="Ευρετήριο"/>
    <w:basedOn w:val="Normal"/>
    <w:pPr>
      <w:suppressLineNumbers/>
    </w:pPr>
    <w:rPr>
      <w:rFonts w:cs="Lohit Hindi"/>
    </w:rPr>
  </w:style>
  <w:style w:type="paragraph" w:styleId="Footer">
    <w:name w:val="footer"/>
    <w:basedOn w:val="Normal"/>
    <w:pPr>
      <w:tabs>
        <w:tab w:val="center" w:pos="4153"/>
        <w:tab w:val="right" w:pos="8306"/>
      </w:tabs>
    </w:pPr>
    <w:rPr>
      <w:rFonts w:ascii="Cambria" w:hAnsi="Cambria"/>
      <w:sz w:val="24"/>
    </w:rPr>
  </w:style>
  <w:style w:type="paragraph" w:customStyle="1" w:styleId="Default">
    <w:name w:val="Default"/>
    <w:pPr>
      <w:suppressAutoHyphens/>
      <w:autoSpaceDE w:val="0"/>
    </w:pPr>
    <w:rPr>
      <w:color w:val="000000"/>
      <w:sz w:val="24"/>
      <w:szCs w:val="24"/>
      <w:lang w:val="en-US" w:eastAsia="zh-CN"/>
    </w:rPr>
  </w:style>
  <w:style w:type="paragraph" w:styleId="Subtitle">
    <w:name w:val="Subtitle"/>
    <w:basedOn w:val="Normal"/>
    <w:next w:val="BodyText"/>
    <w:qFormat/>
    <w:pPr>
      <w:ind w:firstLine="340"/>
      <w:jc w:val="center"/>
    </w:pPr>
    <w:rPr>
      <w:rFonts w:ascii="Cambria" w:hAnsi="Cambria" w:cs="Cambria"/>
      <w:sz w:val="24"/>
      <w:lang w:val="x-none"/>
    </w:rPr>
  </w:style>
  <w:style w:type="paragraph" w:customStyle="1" w:styleId="31">
    <w:name w:val="Σώμα κείμενου 31"/>
    <w:basedOn w:val="Normal"/>
    <w:pPr>
      <w:jc w:val="both"/>
    </w:pPr>
    <w:rPr>
      <w:rFonts w:ascii="Cambria" w:hAnsi="Cambria"/>
      <w:sz w:val="24"/>
    </w:rPr>
  </w:style>
  <w:style w:type="paragraph" w:customStyle="1" w:styleId="References">
    <w:name w:val="References"/>
    <w:basedOn w:val="Normal"/>
    <w:pPr>
      <w:spacing w:after="120"/>
      <w:ind w:left="360" w:hanging="360"/>
    </w:pPr>
    <w:rPr>
      <w:lang w:val="en-US"/>
    </w:rPr>
  </w:style>
  <w:style w:type="paragraph" w:customStyle="1" w:styleId="CaptionFiguresTables">
    <w:name w:val="Caption Figures/Tables"/>
    <w:basedOn w:val="Normal"/>
    <w:pPr>
      <w:spacing w:before="120" w:after="120"/>
      <w:jc w:val="center"/>
    </w:pPr>
    <w:rPr>
      <w:sz w:val="18"/>
      <w:lang w:val="en-US"/>
    </w:rPr>
  </w:style>
  <w:style w:type="paragraph" w:styleId="NormalWeb">
    <w:name w:val="Normal (Web)"/>
    <w:basedOn w:val="Normal"/>
    <w:pPr>
      <w:spacing w:before="280" w:after="280"/>
    </w:pPr>
    <w:rPr>
      <w:sz w:val="24"/>
      <w:lang w:val="en-GB"/>
    </w:rPr>
  </w:style>
  <w:style w:type="paragraph" w:styleId="BodyTextIndent">
    <w:name w:val="Body Text Indent"/>
    <w:basedOn w:val="Normal"/>
    <w:pPr>
      <w:jc w:val="both"/>
    </w:pPr>
    <w:rPr>
      <w:rFonts w:ascii="Cambria" w:hAnsi="Cambria"/>
      <w:sz w:val="24"/>
    </w:rPr>
  </w:style>
  <w:style w:type="paragraph" w:styleId="Header">
    <w:name w:val="header"/>
    <w:basedOn w:val="Normal"/>
    <w:pPr>
      <w:tabs>
        <w:tab w:val="center" w:pos="4153"/>
        <w:tab w:val="right" w:pos="8306"/>
      </w:tabs>
    </w:pPr>
    <w:rPr>
      <w:rFonts w:ascii="Cambria" w:hAnsi="Cambria"/>
      <w:sz w:val="24"/>
    </w:rPr>
  </w:style>
  <w:style w:type="paragraph" w:customStyle="1" w:styleId="11">
    <w:name w:val="Λεζάντα1"/>
    <w:basedOn w:val="Normal"/>
    <w:next w:val="Normal"/>
    <w:pPr>
      <w:jc w:val="both"/>
    </w:pPr>
    <w:rPr>
      <w:rFonts w:ascii="Sylfaen" w:hAnsi="Sylfaen" w:cs="Sylfaen"/>
      <w:b/>
      <w:bCs/>
      <w:szCs w:val="20"/>
    </w:rPr>
  </w:style>
  <w:style w:type="paragraph" w:customStyle="1" w:styleId="a2">
    <w:name w:val="Σώμα κείμενου"/>
    <w:basedOn w:val="Default"/>
    <w:next w:val="Default"/>
    <w:rPr>
      <w:color w:val="auto"/>
    </w:rPr>
  </w:style>
  <w:style w:type="paragraph" w:customStyle="1" w:styleId="12">
    <w:name w:val="Τμήμα κειμένου1"/>
    <w:basedOn w:val="Normal"/>
    <w:pPr>
      <w:ind w:left="240" w:right="-1" w:hanging="240"/>
      <w:jc w:val="both"/>
    </w:pPr>
    <w:rPr>
      <w:lang w:val="en-US"/>
    </w:rPr>
  </w:style>
  <w:style w:type="paragraph" w:customStyle="1" w:styleId="BodyTextIndent858D7CFB-ED40-4347-BF05-701D383B685F858D7CFB-ED40-4347-BF05-701D383B685F">
    <w:name w:val="Body Text Indent{858D7CFB-ED40-4347-BF05-701D383B685F}{858D7CFB-ED40-4347-BF05-701D383B685F}"/>
    <w:basedOn w:val="Normal"/>
    <w:pPr>
      <w:ind w:firstLine="720"/>
      <w:jc w:val="both"/>
    </w:pPr>
    <w:rPr>
      <w:sz w:val="24"/>
      <w:lang w:val="x-none"/>
    </w:rPr>
  </w:style>
  <w:style w:type="paragraph" w:customStyle="1" w:styleId="21">
    <w:name w:val="Σώμα κείμενου με εσοχή 21"/>
    <w:basedOn w:val="Normal"/>
    <w:pPr>
      <w:ind w:firstLine="720"/>
      <w:jc w:val="both"/>
    </w:pPr>
    <w:rPr>
      <w:rFonts w:ascii="Cambria" w:hAnsi="Cambria"/>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w:hAnsi="Cambria"/>
      <w:sz w:val="24"/>
    </w:rPr>
  </w:style>
  <w:style w:type="paragraph" w:customStyle="1" w:styleId="a3">
    <w:name w:val="κείμενο"/>
    <w:basedOn w:val="Normal"/>
    <w:pPr>
      <w:ind w:firstLine="240"/>
    </w:pPr>
    <w:rPr>
      <w:rFonts w:ascii="Book Antiqua" w:hAnsi="Book Antiqua" w:cs="Book Antiqua"/>
      <w:bCs/>
      <w:sz w:val="18"/>
      <w:szCs w:val="18"/>
    </w:rPr>
  </w:style>
  <w:style w:type="paragraph" w:styleId="BalloonText">
    <w:name w:val="Balloon Text"/>
    <w:basedOn w:val="Normal"/>
    <w:rPr>
      <w:rFonts w:ascii="Cambria" w:hAnsi="Cambria"/>
      <w:sz w:val="24"/>
    </w:rPr>
  </w:style>
  <w:style w:type="paragraph" w:customStyle="1" w:styleId="a">
    <w:name w:val="Επιτεύγματα"/>
    <w:basedOn w:val="Normal"/>
    <w:pPr>
      <w:numPr>
        <w:numId w:val="2"/>
      </w:numPr>
      <w:tabs>
        <w:tab w:val="left" w:pos="360"/>
      </w:tabs>
    </w:pPr>
    <w:rPr>
      <w:sz w:val="24"/>
    </w:rPr>
  </w:style>
  <w:style w:type="paragraph" w:customStyle="1" w:styleId="310">
    <w:name w:val="Σώμα κείμενου με εσοχή 31"/>
    <w:basedOn w:val="Normal"/>
    <w:pPr>
      <w:ind w:right="-58" w:firstLine="720"/>
      <w:jc w:val="both"/>
    </w:pPr>
    <w:rPr>
      <w:rFonts w:ascii="Cambria" w:hAnsi="Cambria"/>
      <w:sz w:val="24"/>
    </w:rPr>
  </w:style>
  <w:style w:type="paragraph" w:customStyle="1" w:styleId="Paragraphe">
    <w:name w:val="Paragraphe"/>
    <w:basedOn w:val="Normal"/>
    <w:pPr>
      <w:spacing w:after="240"/>
      <w:jc w:val="both"/>
    </w:pPr>
    <w:rPr>
      <w:rFonts w:ascii="Times" w:hAnsi="Times" w:cs="Times"/>
      <w:szCs w:val="20"/>
      <w:lang w:val="fr-FR"/>
    </w:rPr>
  </w:style>
  <w:style w:type="paragraph" w:customStyle="1" w:styleId="a4">
    <w:name w:val="Αναφορές"/>
    <w:basedOn w:val="Normal"/>
    <w:pPr>
      <w:jc w:val="both"/>
    </w:pPr>
    <w:rPr>
      <w:szCs w:val="20"/>
    </w:rPr>
  </w:style>
  <w:style w:type="paragraph" w:customStyle="1" w:styleId="a5">
    <w:name w:val="Περιεχόμενα πίνακα"/>
    <w:basedOn w:val="Normal"/>
    <w:pPr>
      <w:suppressLineNumbers/>
    </w:pPr>
  </w:style>
  <w:style w:type="paragraph" w:customStyle="1" w:styleId="a6">
    <w:name w:val="Επικεφαλίδα πίνακα"/>
    <w:basedOn w:val="a5"/>
    <w:pPr>
      <w:jc w:val="center"/>
    </w:pPr>
    <w:rPr>
      <w:b/>
      <w:bCs/>
    </w:rPr>
  </w:style>
  <w:style w:type="paragraph" w:customStyle="1" w:styleId="a7">
    <w:name w:val="Κεφαλίδα αριστερά"/>
    <w:basedOn w:val="Normal"/>
    <w:pPr>
      <w:suppressLineNumbers/>
      <w:tabs>
        <w:tab w:val="center" w:pos="4365"/>
        <w:tab w:val="right" w:pos="8730"/>
      </w:tabs>
    </w:pPr>
  </w:style>
  <w:style w:type="character" w:styleId="Emphasis">
    <w:name w:val="Emphasis"/>
    <w:uiPriority w:val="20"/>
    <w:qFormat/>
    <w:rsid w:val="0026520E"/>
    <w:rPr>
      <w:i/>
      <w:iCs/>
    </w:rPr>
  </w:style>
  <w:style w:type="character" w:customStyle="1" w:styleId="BulletChar">
    <w:name w:val="Bullet Char"/>
    <w:link w:val="Bullet"/>
    <w:locked/>
    <w:rsid w:val="00B30FAF"/>
    <w:rPr>
      <w:sz w:val="24"/>
      <w:szCs w:val="24"/>
      <w:lang w:val="x-none" w:eastAsia="x-none"/>
    </w:rPr>
  </w:style>
  <w:style w:type="paragraph" w:customStyle="1" w:styleId="Bullet">
    <w:name w:val="Bullet"/>
    <w:basedOn w:val="Normal"/>
    <w:link w:val="BulletChar"/>
    <w:qFormat/>
    <w:rsid w:val="00B30FAF"/>
    <w:pPr>
      <w:numPr>
        <w:numId w:val="31"/>
      </w:numPr>
      <w:suppressAutoHyphens w:val="0"/>
      <w:jc w:val="both"/>
    </w:pPr>
    <w:rPr>
      <w:sz w:val="24"/>
      <w:lang w:val="x-none" w:eastAsia="x-none"/>
    </w:rPr>
  </w:style>
  <w:style w:type="character" w:customStyle="1" w:styleId="UnresolvedMention">
    <w:name w:val="Unresolved Mention"/>
    <w:uiPriority w:val="99"/>
    <w:semiHidden/>
    <w:unhideWhenUsed/>
    <w:rsid w:val="00706A43"/>
    <w:rPr>
      <w:color w:val="605E5C"/>
      <w:shd w:val="clear" w:color="auto" w:fill="E1DFDD"/>
    </w:rPr>
  </w:style>
  <w:style w:type="paragraph" w:styleId="ListParagraph">
    <w:name w:val="List Paragraph"/>
    <w:basedOn w:val="Normal"/>
    <w:uiPriority w:val="34"/>
    <w:qFormat/>
    <w:rsid w:val="00F76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4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6720</Words>
  <Characters>36289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42924</CharactersWithSpaces>
  <SharedDoc>false</SharedDoc>
  <HLinks>
    <vt:vector size="12" baseType="variant">
      <vt:variant>
        <vt:i4>7340110</vt:i4>
      </vt:variant>
      <vt:variant>
        <vt:i4>3</vt:i4>
      </vt:variant>
      <vt:variant>
        <vt:i4>0</vt:i4>
      </vt:variant>
      <vt:variant>
        <vt:i4>5</vt:i4>
      </vt:variant>
      <vt:variant>
        <vt:lpwstr>https://el.wikipedia.org/wiki/%CE%91%CE%B8%CE%B7%CE%BD%CE%AC</vt:lpwstr>
      </vt:variant>
      <vt:variant>
        <vt:lpwstr>%CE%97_%CE%B3%CE%AD%CE%BD%CE%BD%CE%B7%CF%83%CE%B7_%CF%84%CE%B7%CF%82_%CE%91%CE%B8%CE%B7%CE%BD%CE%AC%CF%82</vt:lpwstr>
      </vt:variant>
      <vt:variant>
        <vt:i4>5242894</vt:i4>
      </vt:variant>
      <vt:variant>
        <vt:i4>0</vt:i4>
      </vt:variant>
      <vt:variant>
        <vt:i4>0</vt:i4>
      </vt:variant>
      <vt:variant>
        <vt:i4>5</vt:i4>
      </vt:variant>
      <vt:variant>
        <vt:lpwstr>https://el.wikipedia.org/wiki/%CE%91%CE%B8%CE%AE%CE%BD%CE%B1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2025-12-29T10:54:00Z</dcterms:created>
  <dcterms:modified xsi:type="dcterms:W3CDTF">2025-12-29T11:49:00Z</dcterms:modified>
</cp:coreProperties>
</file>