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BD4FF" w14:textId="2858BCDC" w:rsidR="00834552" w:rsidRDefault="00834552" w:rsidP="00BA44F5">
      <w:pPr>
        <w:spacing w:line="240" w:lineRule="exact"/>
        <w:jc w:val="center"/>
        <w:outlineLvl w:val="2"/>
        <w:rPr>
          <w:b/>
          <w:bCs/>
          <w:sz w:val="27"/>
          <w:szCs w:val="27"/>
          <w:lang w:eastAsia="el-GR"/>
        </w:rPr>
      </w:pPr>
      <w:r>
        <w:rPr>
          <w:rFonts w:ascii="Calibri" w:hAnsi="Calibri" w:cs="Calibri"/>
          <w:b/>
          <w:bCs/>
          <w:sz w:val="28"/>
          <w:szCs w:val="28"/>
          <w:lang w:eastAsia="el-GR"/>
        </w:rPr>
        <w:t xml:space="preserve"> </w:t>
      </w:r>
      <w:r w:rsidR="00775DA4">
        <w:rPr>
          <w:rFonts w:ascii="Calibri" w:hAnsi="Calibri" w:cs="Calibri"/>
          <w:b/>
          <w:bCs/>
          <w:sz w:val="28"/>
          <w:szCs w:val="28"/>
          <w:lang w:eastAsia="el-GR"/>
        </w:rPr>
        <w:t xml:space="preserve">Συνιστώσες που ερμηνεύουν </w:t>
      </w:r>
      <w:r w:rsidR="00C26BF6">
        <w:rPr>
          <w:rFonts w:ascii="Calibri" w:hAnsi="Calibri" w:cs="Calibri"/>
          <w:b/>
          <w:bCs/>
          <w:sz w:val="28"/>
          <w:szCs w:val="28"/>
          <w:lang w:eastAsia="el-GR"/>
        </w:rPr>
        <w:t xml:space="preserve">τη </w:t>
      </w:r>
      <w:r w:rsidRPr="00834552">
        <w:rPr>
          <w:rFonts w:ascii="Calibri" w:hAnsi="Calibri" w:cs="Calibri"/>
          <w:b/>
          <w:bCs/>
          <w:sz w:val="28"/>
          <w:szCs w:val="28"/>
          <w:lang w:eastAsia="el-GR"/>
        </w:rPr>
        <w:t>συμμετοχή των ατόμων με αναπηρία στην κοινωνική ζωή</w:t>
      </w:r>
    </w:p>
    <w:p w14:paraId="14FD27ED" w14:textId="77777777" w:rsidR="00E97D54" w:rsidRPr="00834552" w:rsidRDefault="0035481F" w:rsidP="00BA44F5">
      <w:pPr>
        <w:pStyle w:val="1"/>
        <w:tabs>
          <w:tab w:val="clear" w:pos="432"/>
        </w:tabs>
        <w:spacing w:line="240" w:lineRule="exact"/>
        <w:ind w:left="0" w:firstLine="0"/>
        <w:jc w:val="center"/>
        <w:rPr>
          <w:rFonts w:ascii="Calibri" w:hAnsi="Calibri" w:cs="Calibri"/>
          <w:b/>
          <w:bCs/>
          <w:color w:val="000000"/>
          <w:lang w:eastAsia="el-GR"/>
        </w:rPr>
      </w:pPr>
      <w:r w:rsidRPr="00834552">
        <w:rPr>
          <w:rFonts w:ascii="Calibri" w:hAnsi="Calibri" w:cs="Calibri"/>
          <w:b/>
          <w:bCs/>
          <w:color w:val="000000"/>
          <w:lang w:eastAsia="el-GR"/>
        </w:rPr>
        <w:t xml:space="preserve"> </w:t>
      </w:r>
    </w:p>
    <w:p w14:paraId="4EF16186" w14:textId="77777777" w:rsidR="0026520E" w:rsidRPr="0019503A" w:rsidRDefault="0026520E" w:rsidP="00BA44F5">
      <w:pPr>
        <w:suppressAutoHyphens w:val="0"/>
        <w:autoSpaceDE w:val="0"/>
        <w:autoSpaceDN w:val="0"/>
        <w:adjustRightInd w:val="0"/>
        <w:spacing w:line="240" w:lineRule="exact"/>
        <w:jc w:val="center"/>
        <w:rPr>
          <w:rFonts w:ascii="Calibri" w:hAnsi="Calibri" w:cs="Calibri"/>
          <w:b/>
          <w:bCs/>
          <w:color w:val="000000"/>
          <w:sz w:val="24"/>
          <w:lang w:eastAsia="el-GR"/>
        </w:rPr>
      </w:pPr>
    </w:p>
    <w:p w14:paraId="1D3734E3" w14:textId="1E8B251F" w:rsidR="0026520E" w:rsidRDefault="00834552" w:rsidP="00BA44F5">
      <w:pPr>
        <w:spacing w:line="240" w:lineRule="exact"/>
        <w:jc w:val="center"/>
        <w:rPr>
          <w:rFonts w:ascii="Calibri" w:hAnsi="Calibri" w:cs="Calibri"/>
          <w:b/>
          <w:bCs/>
          <w:color w:val="000000"/>
          <w:sz w:val="24"/>
          <w:lang w:eastAsia="el-GR"/>
        </w:rPr>
      </w:pPr>
      <w:bookmarkStart w:id="0" w:name="_Hlk64797426"/>
      <w:proofErr w:type="spellStart"/>
      <w:r>
        <w:rPr>
          <w:rFonts w:ascii="Calibri" w:hAnsi="Calibri" w:cs="Calibri"/>
          <w:b/>
          <w:bCs/>
          <w:color w:val="000000"/>
          <w:sz w:val="24"/>
          <w:lang w:eastAsia="el-GR"/>
        </w:rPr>
        <w:t>Λουάρη</w:t>
      </w:r>
      <w:proofErr w:type="spellEnd"/>
      <w:r>
        <w:rPr>
          <w:rFonts w:ascii="Calibri" w:hAnsi="Calibri" w:cs="Calibri"/>
          <w:b/>
          <w:bCs/>
          <w:color w:val="000000"/>
          <w:sz w:val="24"/>
          <w:lang w:eastAsia="el-GR"/>
        </w:rPr>
        <w:t xml:space="preserve"> Μαρίνα</w:t>
      </w:r>
      <w:r w:rsidR="0026520E" w:rsidRPr="006832BB">
        <w:rPr>
          <w:rFonts w:ascii="Calibri" w:hAnsi="Calibri" w:cs="Calibri"/>
          <w:b/>
          <w:bCs/>
          <w:color w:val="000000"/>
          <w:sz w:val="24"/>
          <w:lang w:eastAsia="el-GR"/>
        </w:rPr>
        <w:t xml:space="preserve"> </w:t>
      </w:r>
    </w:p>
    <w:p w14:paraId="5B1BC7DD" w14:textId="77B7CD6D" w:rsidR="00834552" w:rsidRPr="00834552" w:rsidRDefault="00834552" w:rsidP="00BA44F5">
      <w:pPr>
        <w:spacing w:line="240" w:lineRule="exact"/>
        <w:jc w:val="center"/>
        <w:rPr>
          <w:rFonts w:ascii="Calibri" w:eastAsia="Times" w:hAnsi="Calibri" w:cs="Calibri"/>
          <w:bCs/>
          <w:sz w:val="22"/>
          <w:szCs w:val="22"/>
          <w:lang w:eastAsia="en-US"/>
        </w:rPr>
      </w:pPr>
      <w:r w:rsidRPr="00834552">
        <w:rPr>
          <w:rFonts w:ascii="Calibri" w:eastAsia="Times" w:hAnsi="Calibri" w:cs="Calibri"/>
          <w:bCs/>
          <w:sz w:val="22"/>
          <w:szCs w:val="22"/>
          <w:lang w:eastAsia="en-US"/>
        </w:rPr>
        <w:t>ΕΔΙΠ, Πανεπιστήμιο Θεσσαλίας</w:t>
      </w:r>
    </w:p>
    <w:p w14:paraId="6150CA14" w14:textId="4E3A648D" w:rsidR="00834552" w:rsidRPr="00211A46" w:rsidRDefault="00834552" w:rsidP="00834552">
      <w:pPr>
        <w:jc w:val="center"/>
        <w:rPr>
          <w:rFonts w:ascii="Calibri" w:eastAsia="Times" w:hAnsi="Calibri" w:cs="Calibri"/>
          <w:bCs/>
          <w:sz w:val="22"/>
          <w:szCs w:val="22"/>
          <w:lang w:eastAsia="en-US"/>
        </w:rPr>
      </w:pPr>
      <w:proofErr w:type="spellStart"/>
      <w:r w:rsidRPr="00834552">
        <w:rPr>
          <w:rFonts w:ascii="Calibri" w:eastAsia="Times" w:hAnsi="Calibri" w:cs="Calibri"/>
          <w:bCs/>
          <w:sz w:val="22"/>
          <w:szCs w:val="22"/>
          <w:lang w:val="en-US" w:eastAsia="en-US"/>
        </w:rPr>
        <w:t>louarimarina</w:t>
      </w:r>
      <w:proofErr w:type="spellEnd"/>
      <w:r w:rsidRPr="00211A46">
        <w:rPr>
          <w:rFonts w:ascii="Calibri" w:eastAsia="Times" w:hAnsi="Calibri" w:cs="Calibri"/>
          <w:bCs/>
          <w:sz w:val="22"/>
          <w:szCs w:val="22"/>
          <w:lang w:eastAsia="en-US"/>
        </w:rPr>
        <w:t>@</w:t>
      </w:r>
      <w:proofErr w:type="spellStart"/>
      <w:r w:rsidRPr="00834552">
        <w:rPr>
          <w:rFonts w:ascii="Calibri" w:eastAsia="Times" w:hAnsi="Calibri" w:cs="Calibri"/>
          <w:bCs/>
          <w:sz w:val="22"/>
          <w:szCs w:val="22"/>
          <w:lang w:val="en-US" w:eastAsia="en-US"/>
        </w:rPr>
        <w:t>gmail</w:t>
      </w:r>
      <w:proofErr w:type="spellEnd"/>
      <w:r w:rsidRPr="00211A46">
        <w:rPr>
          <w:rFonts w:ascii="Calibri" w:eastAsia="Times" w:hAnsi="Calibri" w:cs="Calibri"/>
          <w:bCs/>
          <w:sz w:val="22"/>
          <w:szCs w:val="22"/>
          <w:lang w:eastAsia="en-US"/>
        </w:rPr>
        <w:t>.</w:t>
      </w:r>
      <w:r w:rsidRPr="00834552">
        <w:rPr>
          <w:rFonts w:ascii="Calibri" w:eastAsia="Times" w:hAnsi="Calibri" w:cs="Calibri"/>
          <w:bCs/>
          <w:sz w:val="22"/>
          <w:szCs w:val="22"/>
          <w:lang w:val="en-US" w:eastAsia="en-US"/>
        </w:rPr>
        <w:t>com</w:t>
      </w:r>
    </w:p>
    <w:p w14:paraId="3923268B" w14:textId="77777777" w:rsidR="0026520E" w:rsidRPr="0026520E" w:rsidRDefault="0026520E" w:rsidP="0026520E">
      <w:pPr>
        <w:jc w:val="center"/>
        <w:rPr>
          <w:rFonts w:ascii="Calibri" w:eastAsia="Times" w:hAnsi="Calibri" w:cs="Calibri"/>
          <w:sz w:val="28"/>
          <w:szCs w:val="28"/>
          <w:lang w:eastAsia="en-US"/>
        </w:rPr>
      </w:pPr>
    </w:p>
    <w:p w14:paraId="148A827B" w14:textId="6AF86D0B" w:rsidR="00CE4DF4" w:rsidRDefault="00834552" w:rsidP="00CE4DF4">
      <w:pPr>
        <w:jc w:val="center"/>
        <w:rPr>
          <w:rFonts w:ascii="Calibri" w:hAnsi="Calibri" w:cs="Calibri"/>
          <w:b/>
          <w:bCs/>
          <w:color w:val="000000"/>
          <w:sz w:val="24"/>
          <w:lang w:eastAsia="el-GR"/>
        </w:rPr>
      </w:pPr>
      <w:r>
        <w:rPr>
          <w:rFonts w:ascii="Calibri" w:hAnsi="Calibri" w:cs="Calibri"/>
          <w:b/>
          <w:bCs/>
          <w:color w:val="000000"/>
          <w:sz w:val="24"/>
          <w:lang w:eastAsia="el-GR"/>
        </w:rPr>
        <w:t>Μπαρμπαρούσης Χαράλαμπος</w:t>
      </w:r>
      <w:r w:rsidR="00CE4DF4" w:rsidRPr="006832BB">
        <w:rPr>
          <w:rFonts w:ascii="Calibri" w:hAnsi="Calibri" w:cs="Calibri"/>
          <w:b/>
          <w:bCs/>
          <w:color w:val="000000"/>
          <w:sz w:val="24"/>
          <w:lang w:eastAsia="el-GR"/>
        </w:rPr>
        <w:t xml:space="preserve"> </w:t>
      </w:r>
    </w:p>
    <w:p w14:paraId="577C274C" w14:textId="47C90B69" w:rsidR="00834552" w:rsidRPr="00834552" w:rsidRDefault="00834552" w:rsidP="00CE4DF4">
      <w:pPr>
        <w:jc w:val="center"/>
        <w:rPr>
          <w:rFonts w:ascii="Calibri" w:eastAsia="Times" w:hAnsi="Calibri" w:cs="Calibri"/>
          <w:bCs/>
          <w:sz w:val="22"/>
          <w:szCs w:val="22"/>
          <w:lang w:eastAsia="en-US"/>
        </w:rPr>
      </w:pPr>
      <w:proofErr w:type="spellStart"/>
      <w:r w:rsidRPr="00834552">
        <w:rPr>
          <w:rFonts w:ascii="Calibri" w:eastAsia="Times" w:hAnsi="Calibri" w:cs="Calibri"/>
          <w:bCs/>
          <w:sz w:val="22"/>
          <w:szCs w:val="22"/>
          <w:lang w:eastAsia="en-US"/>
        </w:rPr>
        <w:t>Δρ</w:t>
      </w:r>
      <w:proofErr w:type="spellEnd"/>
      <w:r w:rsidRPr="00834552">
        <w:rPr>
          <w:rFonts w:ascii="Calibri" w:eastAsia="Times" w:hAnsi="Calibri" w:cs="Calibri"/>
          <w:bCs/>
          <w:sz w:val="22"/>
          <w:szCs w:val="22"/>
          <w:lang w:eastAsia="en-US"/>
        </w:rPr>
        <w:t xml:space="preserve"> Κοινωνιολογίας της Εκπαίδευσης, Πανεπιστήμιο Ιωαννίνων</w:t>
      </w:r>
    </w:p>
    <w:p w14:paraId="06C789E6" w14:textId="303480AB" w:rsidR="00834552" w:rsidRPr="00211A46" w:rsidRDefault="00834552" w:rsidP="00581EF6">
      <w:pPr>
        <w:spacing w:line="240" w:lineRule="exact"/>
        <w:jc w:val="center"/>
        <w:rPr>
          <w:rFonts w:ascii="Calibri" w:eastAsia="Times" w:hAnsi="Calibri" w:cs="Calibri"/>
          <w:bCs/>
          <w:sz w:val="22"/>
          <w:szCs w:val="22"/>
          <w:lang w:eastAsia="en-US"/>
        </w:rPr>
      </w:pPr>
      <w:proofErr w:type="spellStart"/>
      <w:r w:rsidRPr="00834552">
        <w:rPr>
          <w:rFonts w:ascii="Calibri" w:eastAsia="Times" w:hAnsi="Calibri" w:cs="Calibri"/>
          <w:bCs/>
          <w:sz w:val="22"/>
          <w:szCs w:val="22"/>
          <w:lang w:val="en-US" w:eastAsia="en-US"/>
        </w:rPr>
        <w:t>chbarmparousis</w:t>
      </w:r>
      <w:proofErr w:type="spellEnd"/>
      <w:r w:rsidRPr="00211A46">
        <w:rPr>
          <w:rFonts w:ascii="Calibri" w:eastAsia="Times" w:hAnsi="Calibri" w:cs="Calibri"/>
          <w:bCs/>
          <w:sz w:val="22"/>
          <w:szCs w:val="22"/>
          <w:lang w:eastAsia="en-US"/>
        </w:rPr>
        <w:t>@</w:t>
      </w:r>
      <w:proofErr w:type="spellStart"/>
      <w:r w:rsidRPr="00834552">
        <w:rPr>
          <w:rFonts w:ascii="Calibri" w:eastAsia="Times" w:hAnsi="Calibri" w:cs="Calibri"/>
          <w:bCs/>
          <w:sz w:val="22"/>
          <w:szCs w:val="22"/>
          <w:lang w:val="en-US" w:eastAsia="en-US"/>
        </w:rPr>
        <w:t>gmail</w:t>
      </w:r>
      <w:proofErr w:type="spellEnd"/>
      <w:r w:rsidRPr="00211A46">
        <w:rPr>
          <w:rFonts w:ascii="Calibri" w:eastAsia="Times" w:hAnsi="Calibri" w:cs="Calibri"/>
          <w:bCs/>
          <w:sz w:val="22"/>
          <w:szCs w:val="22"/>
          <w:lang w:eastAsia="en-US"/>
        </w:rPr>
        <w:t>.</w:t>
      </w:r>
      <w:r w:rsidRPr="00834552">
        <w:rPr>
          <w:rFonts w:ascii="Calibri" w:eastAsia="Times" w:hAnsi="Calibri" w:cs="Calibri"/>
          <w:bCs/>
          <w:sz w:val="22"/>
          <w:szCs w:val="22"/>
          <w:lang w:val="en-US" w:eastAsia="en-US"/>
        </w:rPr>
        <w:t>com</w:t>
      </w:r>
    </w:p>
    <w:bookmarkEnd w:id="0"/>
    <w:p w14:paraId="0007F345" w14:textId="77777777" w:rsidR="00E97D54" w:rsidRPr="00CF2E39" w:rsidRDefault="00E97D54" w:rsidP="00CD0160">
      <w:pPr>
        <w:spacing w:before="240"/>
        <w:ind w:firstLine="284"/>
        <w:rPr>
          <w:rFonts w:ascii="Calibri" w:hAnsi="Calibri" w:cs="Calibri"/>
          <w:b/>
          <w:sz w:val="22"/>
          <w:szCs w:val="22"/>
        </w:rPr>
      </w:pPr>
      <w:r w:rsidRPr="00CF2E39">
        <w:rPr>
          <w:rFonts w:ascii="Calibri" w:hAnsi="Calibri" w:cs="Calibri"/>
          <w:b/>
          <w:sz w:val="22"/>
          <w:szCs w:val="22"/>
        </w:rPr>
        <w:t>Περίληψη</w:t>
      </w:r>
    </w:p>
    <w:p w14:paraId="4C0C6014" w14:textId="669FAAF5" w:rsidR="00E97D54" w:rsidRPr="00BA44F5" w:rsidRDefault="00BA44F5" w:rsidP="00CD0160">
      <w:pPr>
        <w:spacing w:before="240"/>
        <w:ind w:firstLine="284"/>
        <w:jc w:val="both"/>
        <w:rPr>
          <w:rFonts w:ascii="Calibri" w:hAnsi="Calibri"/>
          <w:bCs/>
          <w:sz w:val="22"/>
          <w:szCs w:val="22"/>
        </w:rPr>
      </w:pPr>
      <w:r w:rsidRPr="00BA44F5">
        <w:rPr>
          <w:rFonts w:asciiTheme="minorHAnsi" w:hAnsiTheme="minorHAnsi" w:cstheme="minorHAnsi"/>
          <w:sz w:val="22"/>
          <w:szCs w:val="22"/>
          <w:lang w:eastAsia="el-GR"/>
        </w:rPr>
        <w:t xml:space="preserve">Παρά τις διεθνείς διακηρύξεις για την προώθηση της κοινωνικής ένταξης των ατόμων με αναπηρία, πρόσφατα ερευνητικά δεδομένα επιβεβαιώνουν την συνέχιση των αρνητικών στάσεων του πληθυσμού ως προς αυτό το δικαίωμα των ατόμων με αναπηρία. Τα μοντέλα της αναπηρίας κατά καιρούς επηρέασαν τις αντιλήψεις εκείνων που διαμορφώνουν πολιτική και σήμερα το μοντέλο των ανθρωπίνων δικαιωμάτων  είναι εκείνο μέσω του οποίου προάγεται η ισότητα, η αξιοπρέπεια και ο σεβασμός των δικαιωμάτων όλων των ανθρώπων, ανεξαρτήτως κοινωνικής θέσης, ταυτότητας, εθνικότητας ή κατάστασης υγείας (Άρθρο 1, CRPD). Με βάση αυτό το μοντέλο, αναπτύχθηκε ένα ερευνητικό εργαλείο για την ανίχνευση των παραγόντων που επηρεάζουν την κοινωνική ένταξη των ατόμων με αναπηρία. Το δείγμα αποτέλεσαν 244 συμμετέχοντες, ηλικίας 20–60 ετών, προερχόμενοι από ποικίλες επαγγελματικές ομάδες. Η ανάλυση των δεδομένων πραγματοποιήθηκε μέσω διερευνητικής, παράλληλης και επιβεβαιωτικής παραγοντικής ανάλυσης, από τις οποίες προέκυψαν τρεις διακριτοί παράγοντες: </w:t>
      </w:r>
      <w:r w:rsidRPr="00BA44F5">
        <w:rPr>
          <w:rFonts w:asciiTheme="minorHAnsi" w:hAnsiTheme="minorHAnsi" w:cstheme="minorHAnsi"/>
          <w:bCs/>
          <w:sz w:val="22"/>
          <w:szCs w:val="22"/>
          <w:lang w:eastAsia="el-GR"/>
        </w:rPr>
        <w:t>(α)</w:t>
      </w:r>
      <w:r w:rsidRPr="00BA44F5">
        <w:rPr>
          <w:rFonts w:asciiTheme="minorHAnsi" w:hAnsiTheme="minorHAnsi" w:cstheme="minorHAnsi"/>
          <w:sz w:val="22"/>
          <w:szCs w:val="22"/>
          <w:lang w:eastAsia="el-GR"/>
        </w:rPr>
        <w:t xml:space="preserve"> κοινωνική αλληλεπίδραση, </w:t>
      </w:r>
      <w:r w:rsidRPr="00BA44F5">
        <w:rPr>
          <w:rFonts w:asciiTheme="minorHAnsi" w:hAnsiTheme="minorHAnsi" w:cstheme="minorHAnsi"/>
          <w:bCs/>
          <w:sz w:val="22"/>
          <w:szCs w:val="22"/>
          <w:lang w:eastAsia="el-GR"/>
        </w:rPr>
        <w:t>(β)</w:t>
      </w:r>
      <w:r w:rsidRPr="00BA44F5">
        <w:rPr>
          <w:rFonts w:asciiTheme="minorHAnsi" w:hAnsiTheme="minorHAnsi" w:cstheme="minorHAnsi"/>
          <w:sz w:val="22"/>
          <w:szCs w:val="22"/>
          <w:lang w:eastAsia="el-GR"/>
        </w:rPr>
        <w:t xml:space="preserve"> αρνητικές στάσεις και </w:t>
      </w:r>
      <w:r w:rsidRPr="00BA44F5">
        <w:rPr>
          <w:rFonts w:asciiTheme="minorHAnsi" w:hAnsiTheme="minorHAnsi" w:cstheme="minorHAnsi"/>
          <w:bCs/>
          <w:sz w:val="22"/>
          <w:szCs w:val="22"/>
          <w:lang w:eastAsia="el-GR"/>
        </w:rPr>
        <w:t>(γ)</w:t>
      </w:r>
      <w:r w:rsidRPr="00BA44F5">
        <w:rPr>
          <w:rFonts w:asciiTheme="minorHAnsi" w:hAnsiTheme="minorHAnsi" w:cstheme="minorHAnsi"/>
          <w:sz w:val="22"/>
          <w:szCs w:val="22"/>
          <w:lang w:eastAsia="el-GR"/>
        </w:rPr>
        <w:t xml:space="preserve"> ανάγκη κοινωνικής ένταξης</w:t>
      </w:r>
      <w:r w:rsidRPr="00BA44F5">
        <w:rPr>
          <w:sz w:val="24"/>
          <w:lang w:eastAsia="el-GR"/>
        </w:rPr>
        <w:t>.</w:t>
      </w:r>
    </w:p>
    <w:p w14:paraId="11CEBA15" w14:textId="323EE778" w:rsidR="00E97D54" w:rsidRPr="00CF2E39" w:rsidRDefault="00E97D54" w:rsidP="00CD0160">
      <w:pPr>
        <w:spacing w:before="240"/>
        <w:ind w:firstLine="284"/>
        <w:jc w:val="both"/>
        <w:rPr>
          <w:rFonts w:ascii="Calibri" w:hAnsi="Calibri"/>
          <w:b/>
          <w:bCs/>
          <w:sz w:val="22"/>
          <w:szCs w:val="22"/>
        </w:rPr>
      </w:pPr>
      <w:r w:rsidRPr="00CF2E39">
        <w:rPr>
          <w:rFonts w:ascii="Calibri" w:hAnsi="Calibri"/>
          <w:b/>
          <w:bCs/>
          <w:sz w:val="22"/>
          <w:szCs w:val="22"/>
        </w:rPr>
        <w:t>Λέξεις κλειδιά</w:t>
      </w:r>
      <w:r w:rsidRPr="00CF2E39">
        <w:rPr>
          <w:rFonts w:ascii="Calibri" w:hAnsi="Calibri"/>
          <w:b/>
          <w:sz w:val="22"/>
          <w:szCs w:val="22"/>
        </w:rPr>
        <w:t xml:space="preserve">: </w:t>
      </w:r>
      <w:r w:rsidR="00BA44F5" w:rsidRPr="00BA44F5">
        <w:rPr>
          <w:rFonts w:ascii="Calibri" w:hAnsi="Calibri"/>
          <w:sz w:val="22"/>
          <w:szCs w:val="22"/>
        </w:rPr>
        <w:t>αναπηρία</w:t>
      </w:r>
      <w:r w:rsidR="00BA44F5">
        <w:rPr>
          <w:rFonts w:ascii="Calibri" w:hAnsi="Calibri"/>
          <w:b/>
          <w:sz w:val="22"/>
          <w:szCs w:val="22"/>
        </w:rPr>
        <w:t xml:space="preserve">, </w:t>
      </w:r>
      <w:r w:rsidR="00BA44F5">
        <w:rPr>
          <w:rFonts w:ascii="Calibri" w:hAnsi="Calibri"/>
          <w:sz w:val="22"/>
          <w:szCs w:val="22"/>
        </w:rPr>
        <w:t>εργαλείο, κοινωνική ένταξη, στάσεις</w:t>
      </w:r>
    </w:p>
    <w:p w14:paraId="4C1115BB" w14:textId="77777777" w:rsidR="00E97D54" w:rsidRPr="00CF2E39" w:rsidRDefault="00E97D54" w:rsidP="00CD0160">
      <w:pPr>
        <w:spacing w:before="240"/>
        <w:ind w:firstLine="284"/>
        <w:rPr>
          <w:rFonts w:ascii="Calibri" w:hAnsi="Calibri" w:cs="Calibri"/>
          <w:b/>
          <w:sz w:val="22"/>
          <w:szCs w:val="22"/>
        </w:rPr>
      </w:pPr>
      <w:r w:rsidRPr="00CF2E39">
        <w:rPr>
          <w:rFonts w:ascii="Calibri" w:hAnsi="Calibri" w:cs="Calibri"/>
          <w:b/>
          <w:sz w:val="22"/>
          <w:szCs w:val="22"/>
        </w:rPr>
        <w:t>Εισαγωγή</w:t>
      </w:r>
    </w:p>
    <w:p w14:paraId="5189796C" w14:textId="77777777" w:rsidR="00BA44F5" w:rsidRPr="00501409" w:rsidRDefault="00BA44F5" w:rsidP="000F192F">
      <w:pPr>
        <w:ind w:firstLine="284"/>
        <w:jc w:val="both"/>
        <w:rPr>
          <w:rFonts w:asciiTheme="minorHAnsi" w:hAnsiTheme="minorHAnsi" w:cstheme="minorHAnsi"/>
          <w:sz w:val="22"/>
          <w:szCs w:val="22"/>
          <w:lang w:eastAsia="el-GR"/>
        </w:rPr>
      </w:pPr>
      <w:r w:rsidRPr="00501409">
        <w:rPr>
          <w:rFonts w:asciiTheme="minorHAnsi" w:hAnsiTheme="minorHAnsi" w:cstheme="minorHAnsi"/>
          <w:sz w:val="22"/>
          <w:szCs w:val="22"/>
          <w:lang w:eastAsia="el-GR"/>
        </w:rPr>
        <w:t>Παρά το γεγονός ότι εδώ και αρκετές δεκαετίες προβάλλεται το δικαίωμα των ατόμων με αναπηρία για πλήρη συμμετοχή στο κοινωνικό γίγνεσθαι, η επιστημονική κοινότητα εξακολουθεί να διερευνά τους παράγοντες που επηρεάζουν τη θέση τους στην κοινωνία. Ένας από τους πλέον καθοριστικούς παράγοντες αφορά τις στάσεις του γενικού πληθυσμού, καθώς οι αρνητικές ή ακόμη και οι ουδέτερες στάσεις συνιστούν σημαντικό εμπόδιο για την κοινωνική αποδοχή και ένταξη των ατόμων με αναπηρία (</w:t>
      </w:r>
      <w:proofErr w:type="spellStart"/>
      <w:r w:rsidRPr="00501409">
        <w:rPr>
          <w:rFonts w:asciiTheme="minorHAnsi" w:hAnsiTheme="minorHAnsi" w:cstheme="minorHAnsi"/>
          <w:sz w:val="22"/>
          <w:szCs w:val="22"/>
          <w:lang w:eastAsia="el-GR"/>
        </w:rPr>
        <w:t>Tan</w:t>
      </w:r>
      <w:proofErr w:type="spellEnd"/>
      <w:r w:rsidRPr="00501409">
        <w:rPr>
          <w:rFonts w:asciiTheme="minorHAnsi" w:hAnsiTheme="minorHAnsi" w:cstheme="minorHAnsi"/>
          <w:sz w:val="22"/>
          <w:szCs w:val="22"/>
          <w:lang w:eastAsia="el-GR"/>
        </w:rPr>
        <w:t xml:space="preserve"> </w:t>
      </w:r>
      <w:proofErr w:type="spellStart"/>
      <w:r w:rsidRPr="00501409">
        <w:rPr>
          <w:rFonts w:asciiTheme="minorHAnsi" w:hAnsiTheme="minorHAnsi" w:cstheme="minorHAnsi"/>
          <w:sz w:val="22"/>
          <w:szCs w:val="22"/>
          <w:lang w:eastAsia="el-GR"/>
        </w:rPr>
        <w:t>et</w:t>
      </w:r>
      <w:proofErr w:type="spellEnd"/>
      <w:r w:rsidRPr="00501409">
        <w:rPr>
          <w:rFonts w:asciiTheme="minorHAnsi" w:hAnsiTheme="minorHAnsi" w:cstheme="minorHAnsi"/>
          <w:sz w:val="22"/>
          <w:szCs w:val="22"/>
          <w:lang w:eastAsia="el-GR"/>
        </w:rPr>
        <w:t xml:space="preserve"> </w:t>
      </w:r>
      <w:proofErr w:type="spellStart"/>
      <w:r w:rsidRPr="00501409">
        <w:rPr>
          <w:rFonts w:asciiTheme="minorHAnsi" w:hAnsiTheme="minorHAnsi" w:cstheme="minorHAnsi"/>
          <w:sz w:val="22"/>
          <w:szCs w:val="22"/>
          <w:lang w:eastAsia="el-GR"/>
        </w:rPr>
        <w:t>al</w:t>
      </w:r>
      <w:proofErr w:type="spellEnd"/>
      <w:r w:rsidRPr="00501409">
        <w:rPr>
          <w:rFonts w:asciiTheme="minorHAnsi" w:hAnsiTheme="minorHAnsi" w:cstheme="minorHAnsi"/>
          <w:sz w:val="22"/>
          <w:szCs w:val="22"/>
          <w:lang w:eastAsia="el-GR"/>
        </w:rPr>
        <w:t xml:space="preserve">., 2019; </w:t>
      </w:r>
      <w:proofErr w:type="spellStart"/>
      <w:r w:rsidRPr="00501409">
        <w:rPr>
          <w:rFonts w:asciiTheme="minorHAnsi" w:hAnsiTheme="minorHAnsi" w:cstheme="minorHAnsi"/>
          <w:sz w:val="22"/>
          <w:szCs w:val="22"/>
          <w:lang w:eastAsia="el-GR"/>
        </w:rPr>
        <w:t>Wang</w:t>
      </w:r>
      <w:proofErr w:type="spellEnd"/>
      <w:r w:rsidRPr="00501409">
        <w:rPr>
          <w:rFonts w:asciiTheme="minorHAnsi" w:hAnsiTheme="minorHAnsi" w:cstheme="minorHAnsi"/>
          <w:sz w:val="22"/>
          <w:szCs w:val="22"/>
          <w:lang w:eastAsia="el-GR"/>
        </w:rPr>
        <w:t xml:space="preserve"> </w:t>
      </w:r>
      <w:proofErr w:type="spellStart"/>
      <w:r w:rsidRPr="00501409">
        <w:rPr>
          <w:rFonts w:asciiTheme="minorHAnsi" w:hAnsiTheme="minorHAnsi" w:cstheme="minorHAnsi"/>
          <w:sz w:val="22"/>
          <w:szCs w:val="22"/>
          <w:lang w:eastAsia="el-GR"/>
        </w:rPr>
        <w:t>et</w:t>
      </w:r>
      <w:proofErr w:type="spellEnd"/>
      <w:r w:rsidRPr="00501409">
        <w:rPr>
          <w:rFonts w:asciiTheme="minorHAnsi" w:hAnsiTheme="minorHAnsi" w:cstheme="minorHAnsi"/>
          <w:sz w:val="22"/>
          <w:szCs w:val="22"/>
          <w:lang w:eastAsia="el-GR"/>
        </w:rPr>
        <w:t xml:space="preserve"> </w:t>
      </w:r>
      <w:proofErr w:type="spellStart"/>
      <w:r w:rsidRPr="00501409">
        <w:rPr>
          <w:rFonts w:asciiTheme="minorHAnsi" w:hAnsiTheme="minorHAnsi" w:cstheme="minorHAnsi"/>
          <w:sz w:val="22"/>
          <w:szCs w:val="22"/>
          <w:lang w:eastAsia="el-GR"/>
        </w:rPr>
        <w:t>al</w:t>
      </w:r>
      <w:proofErr w:type="spellEnd"/>
      <w:r w:rsidRPr="00501409">
        <w:rPr>
          <w:rFonts w:asciiTheme="minorHAnsi" w:hAnsiTheme="minorHAnsi" w:cstheme="minorHAnsi"/>
          <w:sz w:val="22"/>
          <w:szCs w:val="22"/>
          <w:lang w:eastAsia="el-GR"/>
        </w:rPr>
        <w:t>., 2021). Για τον λόγο αυτό, έχει δοθεί έμφαση στον σχεδιασμό παρεμβάσεων και προγραμμάτων που στοχεύουν στην πρόληψη και τον περιορισμό των αρνητικών συνεπειών αυτών των στάσεων (</w:t>
      </w:r>
      <w:proofErr w:type="spellStart"/>
      <w:r w:rsidRPr="00501409">
        <w:rPr>
          <w:rFonts w:asciiTheme="minorHAnsi" w:hAnsiTheme="minorHAnsi" w:cstheme="minorHAnsi"/>
          <w:sz w:val="22"/>
          <w:szCs w:val="22"/>
          <w:lang w:eastAsia="el-GR"/>
        </w:rPr>
        <w:t>Chapman</w:t>
      </w:r>
      <w:proofErr w:type="spellEnd"/>
      <w:r w:rsidRPr="00501409">
        <w:rPr>
          <w:rFonts w:asciiTheme="minorHAnsi" w:hAnsiTheme="minorHAnsi" w:cstheme="minorHAnsi"/>
          <w:sz w:val="22"/>
          <w:szCs w:val="22"/>
          <w:lang w:eastAsia="el-GR"/>
        </w:rPr>
        <w:t xml:space="preserve"> </w:t>
      </w:r>
      <w:proofErr w:type="spellStart"/>
      <w:r w:rsidRPr="00501409">
        <w:rPr>
          <w:rFonts w:asciiTheme="minorHAnsi" w:hAnsiTheme="minorHAnsi" w:cstheme="minorHAnsi"/>
          <w:sz w:val="22"/>
          <w:szCs w:val="22"/>
          <w:lang w:eastAsia="el-GR"/>
        </w:rPr>
        <w:t>et</w:t>
      </w:r>
      <w:proofErr w:type="spellEnd"/>
      <w:r w:rsidRPr="00501409">
        <w:rPr>
          <w:rFonts w:asciiTheme="minorHAnsi" w:hAnsiTheme="minorHAnsi" w:cstheme="minorHAnsi"/>
          <w:sz w:val="22"/>
          <w:szCs w:val="22"/>
          <w:lang w:eastAsia="el-GR"/>
        </w:rPr>
        <w:t xml:space="preserve"> </w:t>
      </w:r>
      <w:proofErr w:type="spellStart"/>
      <w:r w:rsidRPr="00501409">
        <w:rPr>
          <w:rFonts w:asciiTheme="minorHAnsi" w:hAnsiTheme="minorHAnsi" w:cstheme="minorHAnsi"/>
          <w:sz w:val="22"/>
          <w:szCs w:val="22"/>
          <w:lang w:eastAsia="el-GR"/>
        </w:rPr>
        <w:t>al</w:t>
      </w:r>
      <w:proofErr w:type="spellEnd"/>
      <w:r w:rsidRPr="00501409">
        <w:rPr>
          <w:rFonts w:asciiTheme="minorHAnsi" w:hAnsiTheme="minorHAnsi" w:cstheme="minorHAnsi"/>
          <w:sz w:val="22"/>
          <w:szCs w:val="22"/>
          <w:lang w:eastAsia="el-GR"/>
        </w:rPr>
        <w:t>., 2023), ιδιαίτερα όταν αυτές επηρεάζουν την αυτονομία των ατόμων.</w:t>
      </w:r>
    </w:p>
    <w:p w14:paraId="34641068" w14:textId="59369CED" w:rsidR="002F2139" w:rsidRPr="00501409" w:rsidRDefault="00BA44F5" w:rsidP="000F192F">
      <w:pPr>
        <w:ind w:firstLine="284"/>
        <w:jc w:val="both"/>
        <w:rPr>
          <w:rFonts w:asciiTheme="minorHAnsi" w:hAnsiTheme="minorHAnsi" w:cstheme="minorHAnsi"/>
          <w:sz w:val="22"/>
          <w:szCs w:val="22"/>
          <w:lang w:eastAsia="el-GR"/>
        </w:rPr>
      </w:pPr>
      <w:r w:rsidRPr="00501409">
        <w:rPr>
          <w:rFonts w:asciiTheme="minorHAnsi" w:hAnsiTheme="minorHAnsi" w:cstheme="minorHAnsi"/>
          <w:sz w:val="22"/>
          <w:szCs w:val="22"/>
          <w:lang w:eastAsia="el-GR"/>
        </w:rPr>
        <w:t xml:space="preserve">Ο όρος </w:t>
      </w:r>
      <w:r w:rsidRPr="00501409">
        <w:rPr>
          <w:rFonts w:asciiTheme="minorHAnsi" w:hAnsiTheme="minorHAnsi" w:cstheme="minorHAnsi"/>
          <w:i/>
          <w:iCs/>
          <w:sz w:val="22"/>
          <w:szCs w:val="22"/>
          <w:lang w:eastAsia="el-GR"/>
        </w:rPr>
        <w:t>αυτονομία</w:t>
      </w:r>
      <w:r w:rsidRPr="00501409">
        <w:rPr>
          <w:rFonts w:asciiTheme="minorHAnsi" w:hAnsiTheme="minorHAnsi" w:cstheme="minorHAnsi"/>
          <w:sz w:val="22"/>
          <w:szCs w:val="22"/>
          <w:lang w:eastAsia="el-GR"/>
        </w:rPr>
        <w:t xml:space="preserve"> αναφέρεται στον βαθμό κατά τον οποίο τα άτομα με αναπηρία μπορούν να διαχειρίζονται αποτελεσματικά την καθημερινή τους ζωή (</w:t>
      </w:r>
      <w:proofErr w:type="spellStart"/>
      <w:r w:rsidRPr="00501409">
        <w:rPr>
          <w:rFonts w:asciiTheme="minorHAnsi" w:hAnsiTheme="minorHAnsi" w:cstheme="minorHAnsi"/>
          <w:sz w:val="22"/>
          <w:szCs w:val="22"/>
          <w:lang w:eastAsia="el-GR"/>
        </w:rPr>
        <w:t>Björnsdóttir</w:t>
      </w:r>
      <w:proofErr w:type="spellEnd"/>
      <w:r w:rsidRPr="00501409">
        <w:rPr>
          <w:rFonts w:asciiTheme="minorHAnsi" w:hAnsiTheme="minorHAnsi" w:cstheme="minorHAnsi"/>
          <w:sz w:val="22"/>
          <w:szCs w:val="22"/>
          <w:lang w:eastAsia="el-GR"/>
        </w:rPr>
        <w:t xml:space="preserve"> </w:t>
      </w:r>
      <w:proofErr w:type="spellStart"/>
      <w:r w:rsidRPr="00501409">
        <w:rPr>
          <w:rFonts w:asciiTheme="minorHAnsi" w:hAnsiTheme="minorHAnsi" w:cstheme="minorHAnsi"/>
          <w:sz w:val="22"/>
          <w:szCs w:val="22"/>
          <w:lang w:eastAsia="el-GR"/>
        </w:rPr>
        <w:t>et</w:t>
      </w:r>
      <w:proofErr w:type="spellEnd"/>
      <w:r w:rsidRPr="00501409">
        <w:rPr>
          <w:rFonts w:asciiTheme="minorHAnsi" w:hAnsiTheme="minorHAnsi" w:cstheme="minorHAnsi"/>
          <w:sz w:val="22"/>
          <w:szCs w:val="22"/>
          <w:lang w:eastAsia="el-GR"/>
        </w:rPr>
        <w:t xml:space="preserve"> </w:t>
      </w:r>
      <w:proofErr w:type="spellStart"/>
      <w:r w:rsidRPr="00501409">
        <w:rPr>
          <w:rFonts w:asciiTheme="minorHAnsi" w:hAnsiTheme="minorHAnsi" w:cstheme="minorHAnsi"/>
          <w:sz w:val="22"/>
          <w:szCs w:val="22"/>
          <w:lang w:eastAsia="el-GR"/>
        </w:rPr>
        <w:t>al</w:t>
      </w:r>
      <w:proofErr w:type="spellEnd"/>
      <w:r w:rsidRPr="00501409">
        <w:rPr>
          <w:rFonts w:asciiTheme="minorHAnsi" w:hAnsiTheme="minorHAnsi" w:cstheme="minorHAnsi"/>
          <w:sz w:val="22"/>
          <w:szCs w:val="22"/>
          <w:lang w:eastAsia="el-GR"/>
        </w:rPr>
        <w:t xml:space="preserve">., 2015). Η αυτονομία αποτελεί αφενός θεμελιώδη ανθρώπινη ανάγκη και αφετέρου καθοριστικό παράγοντα για την κοινωνική αποδοχή. Αν και ορισμένες προσεγγίσεις αμφισβητούν την αναγκαιότητά της για τα άτομα με αναπηρία, </w:t>
      </w:r>
      <w:r w:rsidR="001312DF">
        <w:rPr>
          <w:rFonts w:asciiTheme="minorHAnsi" w:hAnsiTheme="minorHAnsi" w:cstheme="minorHAnsi"/>
          <w:sz w:val="22"/>
          <w:szCs w:val="22"/>
          <w:lang w:eastAsia="el-GR"/>
        </w:rPr>
        <w:t xml:space="preserve">πρόσφατα </w:t>
      </w:r>
      <w:r w:rsidRPr="00501409">
        <w:rPr>
          <w:rFonts w:asciiTheme="minorHAnsi" w:hAnsiTheme="minorHAnsi" w:cstheme="minorHAnsi"/>
          <w:sz w:val="22"/>
          <w:szCs w:val="22"/>
          <w:lang w:eastAsia="el-GR"/>
        </w:rPr>
        <w:t>εμπειρικά δεδομένα αναδεικνύουν τη σημαντική συμβολή της στην ενδυνάμωση και την κοινωνική συμμετοχή τους, προτείνοντας παράλληλα στρατηγικές για τη διευκόλυνση της ανάπτυξής της (</w:t>
      </w:r>
      <w:proofErr w:type="spellStart"/>
      <w:r w:rsidRPr="00501409">
        <w:rPr>
          <w:rFonts w:asciiTheme="minorHAnsi" w:hAnsiTheme="minorHAnsi" w:cstheme="minorHAnsi"/>
          <w:sz w:val="22"/>
          <w:szCs w:val="22"/>
          <w:lang w:eastAsia="el-GR"/>
        </w:rPr>
        <w:t>Estreder</w:t>
      </w:r>
      <w:proofErr w:type="spellEnd"/>
      <w:r w:rsidRPr="00501409">
        <w:rPr>
          <w:rFonts w:asciiTheme="minorHAnsi" w:hAnsiTheme="minorHAnsi" w:cstheme="minorHAnsi"/>
          <w:sz w:val="22"/>
          <w:szCs w:val="22"/>
          <w:lang w:eastAsia="el-GR"/>
        </w:rPr>
        <w:t xml:space="preserve"> </w:t>
      </w:r>
      <w:proofErr w:type="spellStart"/>
      <w:r w:rsidRPr="00501409">
        <w:rPr>
          <w:rFonts w:asciiTheme="minorHAnsi" w:hAnsiTheme="minorHAnsi" w:cstheme="minorHAnsi"/>
          <w:sz w:val="22"/>
          <w:szCs w:val="22"/>
          <w:lang w:eastAsia="el-GR"/>
        </w:rPr>
        <w:t>et</w:t>
      </w:r>
      <w:proofErr w:type="spellEnd"/>
      <w:r w:rsidRPr="00501409">
        <w:rPr>
          <w:rFonts w:asciiTheme="minorHAnsi" w:hAnsiTheme="minorHAnsi" w:cstheme="minorHAnsi"/>
          <w:sz w:val="22"/>
          <w:szCs w:val="22"/>
          <w:lang w:eastAsia="el-GR"/>
        </w:rPr>
        <w:t xml:space="preserve"> </w:t>
      </w:r>
      <w:proofErr w:type="spellStart"/>
      <w:r w:rsidRPr="00501409">
        <w:rPr>
          <w:rFonts w:asciiTheme="minorHAnsi" w:hAnsiTheme="minorHAnsi" w:cstheme="minorHAnsi"/>
          <w:sz w:val="22"/>
          <w:szCs w:val="22"/>
          <w:lang w:eastAsia="el-GR"/>
        </w:rPr>
        <w:t>al</w:t>
      </w:r>
      <w:proofErr w:type="spellEnd"/>
      <w:r w:rsidRPr="00501409">
        <w:rPr>
          <w:rFonts w:asciiTheme="minorHAnsi" w:hAnsiTheme="minorHAnsi" w:cstheme="minorHAnsi"/>
          <w:sz w:val="22"/>
          <w:szCs w:val="22"/>
          <w:lang w:eastAsia="el-GR"/>
        </w:rPr>
        <w:t>., 2023).</w:t>
      </w:r>
      <w:r w:rsidR="000F192F" w:rsidRPr="000F192F">
        <w:rPr>
          <w:rFonts w:asciiTheme="minorHAnsi" w:hAnsiTheme="minorHAnsi" w:cstheme="minorHAnsi"/>
          <w:sz w:val="22"/>
          <w:szCs w:val="22"/>
          <w:lang w:eastAsia="el-GR"/>
        </w:rPr>
        <w:t xml:space="preserve"> </w:t>
      </w:r>
      <w:r w:rsidR="002F2139" w:rsidRPr="00501409">
        <w:rPr>
          <w:rFonts w:asciiTheme="minorHAnsi" w:hAnsiTheme="minorHAnsi" w:cstheme="minorHAnsi"/>
          <w:sz w:val="22"/>
          <w:szCs w:val="22"/>
          <w:lang w:eastAsia="el-GR"/>
        </w:rPr>
        <w:t>Ερευνητικά δεδομένα αναφέρουν</w:t>
      </w:r>
      <w:r w:rsidRPr="00501409">
        <w:rPr>
          <w:rFonts w:asciiTheme="minorHAnsi" w:hAnsiTheme="minorHAnsi" w:cstheme="minorHAnsi"/>
          <w:sz w:val="22"/>
          <w:szCs w:val="22"/>
          <w:lang w:eastAsia="el-GR"/>
        </w:rPr>
        <w:t xml:space="preserve"> ότι η ενίσχυση της αυτόνομης συμπεριφοράς των ατόμων με αναπηρία συνδέεται θετικά με την ποιότητα ζωής (</w:t>
      </w:r>
      <w:proofErr w:type="spellStart"/>
      <w:r w:rsidRPr="00501409">
        <w:rPr>
          <w:rFonts w:asciiTheme="minorHAnsi" w:hAnsiTheme="minorHAnsi" w:cstheme="minorHAnsi"/>
          <w:sz w:val="22"/>
          <w:szCs w:val="22"/>
          <w:lang w:eastAsia="el-GR"/>
        </w:rPr>
        <w:t>Lachapelle</w:t>
      </w:r>
      <w:proofErr w:type="spellEnd"/>
      <w:r w:rsidRPr="00501409">
        <w:rPr>
          <w:rFonts w:asciiTheme="minorHAnsi" w:hAnsiTheme="minorHAnsi" w:cstheme="minorHAnsi"/>
          <w:sz w:val="22"/>
          <w:szCs w:val="22"/>
          <w:lang w:eastAsia="el-GR"/>
        </w:rPr>
        <w:t xml:space="preserve"> </w:t>
      </w:r>
      <w:proofErr w:type="spellStart"/>
      <w:r w:rsidRPr="00501409">
        <w:rPr>
          <w:rFonts w:asciiTheme="minorHAnsi" w:hAnsiTheme="minorHAnsi" w:cstheme="minorHAnsi"/>
          <w:sz w:val="22"/>
          <w:szCs w:val="22"/>
          <w:lang w:eastAsia="el-GR"/>
        </w:rPr>
        <w:t>et</w:t>
      </w:r>
      <w:proofErr w:type="spellEnd"/>
      <w:r w:rsidRPr="00501409">
        <w:rPr>
          <w:rFonts w:asciiTheme="minorHAnsi" w:hAnsiTheme="minorHAnsi" w:cstheme="minorHAnsi"/>
          <w:sz w:val="22"/>
          <w:szCs w:val="22"/>
          <w:lang w:eastAsia="el-GR"/>
        </w:rPr>
        <w:t xml:space="preserve"> </w:t>
      </w:r>
      <w:proofErr w:type="spellStart"/>
      <w:r w:rsidRPr="00501409">
        <w:rPr>
          <w:rFonts w:asciiTheme="minorHAnsi" w:hAnsiTheme="minorHAnsi" w:cstheme="minorHAnsi"/>
          <w:sz w:val="22"/>
          <w:szCs w:val="22"/>
          <w:lang w:eastAsia="el-GR"/>
        </w:rPr>
        <w:t>al</w:t>
      </w:r>
      <w:proofErr w:type="spellEnd"/>
      <w:r w:rsidRPr="00501409">
        <w:rPr>
          <w:rFonts w:asciiTheme="minorHAnsi" w:hAnsiTheme="minorHAnsi" w:cstheme="minorHAnsi"/>
          <w:sz w:val="22"/>
          <w:szCs w:val="22"/>
          <w:lang w:eastAsia="el-GR"/>
        </w:rPr>
        <w:t>., 2005), την επαγγελματική απασχόληση (</w:t>
      </w:r>
      <w:proofErr w:type="spellStart"/>
      <w:r w:rsidRPr="00501409">
        <w:rPr>
          <w:rFonts w:asciiTheme="minorHAnsi" w:hAnsiTheme="minorHAnsi" w:cstheme="minorHAnsi"/>
          <w:sz w:val="22"/>
          <w:szCs w:val="22"/>
          <w:lang w:eastAsia="el-GR"/>
        </w:rPr>
        <w:t>Shogren</w:t>
      </w:r>
      <w:proofErr w:type="spellEnd"/>
      <w:r w:rsidRPr="00501409">
        <w:rPr>
          <w:rFonts w:asciiTheme="minorHAnsi" w:hAnsiTheme="minorHAnsi" w:cstheme="minorHAnsi"/>
          <w:sz w:val="22"/>
          <w:szCs w:val="22"/>
          <w:lang w:eastAsia="el-GR"/>
        </w:rPr>
        <w:t xml:space="preserve"> </w:t>
      </w:r>
      <w:proofErr w:type="spellStart"/>
      <w:r w:rsidRPr="00501409">
        <w:rPr>
          <w:rFonts w:asciiTheme="minorHAnsi" w:hAnsiTheme="minorHAnsi" w:cstheme="minorHAnsi"/>
          <w:sz w:val="22"/>
          <w:szCs w:val="22"/>
          <w:lang w:eastAsia="el-GR"/>
        </w:rPr>
        <w:t>et</w:t>
      </w:r>
      <w:proofErr w:type="spellEnd"/>
      <w:r w:rsidRPr="00501409">
        <w:rPr>
          <w:rFonts w:asciiTheme="minorHAnsi" w:hAnsiTheme="minorHAnsi" w:cstheme="minorHAnsi"/>
          <w:sz w:val="22"/>
          <w:szCs w:val="22"/>
          <w:lang w:eastAsia="el-GR"/>
        </w:rPr>
        <w:t xml:space="preserve"> </w:t>
      </w:r>
      <w:proofErr w:type="spellStart"/>
      <w:r w:rsidRPr="00501409">
        <w:rPr>
          <w:rFonts w:asciiTheme="minorHAnsi" w:hAnsiTheme="minorHAnsi" w:cstheme="minorHAnsi"/>
          <w:sz w:val="22"/>
          <w:szCs w:val="22"/>
          <w:lang w:eastAsia="el-GR"/>
        </w:rPr>
        <w:t>al</w:t>
      </w:r>
      <w:proofErr w:type="spellEnd"/>
      <w:r w:rsidRPr="00501409">
        <w:rPr>
          <w:rFonts w:asciiTheme="minorHAnsi" w:hAnsiTheme="minorHAnsi" w:cstheme="minorHAnsi"/>
          <w:sz w:val="22"/>
          <w:szCs w:val="22"/>
          <w:lang w:eastAsia="el-GR"/>
        </w:rPr>
        <w:t>., 2015), την ανεξάρτητη διαβίωση (</w:t>
      </w:r>
      <w:proofErr w:type="spellStart"/>
      <w:r w:rsidRPr="00501409">
        <w:rPr>
          <w:rFonts w:asciiTheme="minorHAnsi" w:hAnsiTheme="minorHAnsi" w:cstheme="minorHAnsi"/>
          <w:sz w:val="22"/>
          <w:szCs w:val="22"/>
          <w:lang w:eastAsia="el-GR"/>
        </w:rPr>
        <w:t>Palmer</w:t>
      </w:r>
      <w:proofErr w:type="spellEnd"/>
      <w:r w:rsidRPr="00501409">
        <w:rPr>
          <w:rFonts w:asciiTheme="minorHAnsi" w:hAnsiTheme="minorHAnsi" w:cstheme="minorHAnsi"/>
          <w:sz w:val="22"/>
          <w:szCs w:val="22"/>
          <w:lang w:eastAsia="el-GR"/>
        </w:rPr>
        <w:t xml:space="preserve"> &amp; </w:t>
      </w:r>
      <w:proofErr w:type="spellStart"/>
      <w:r w:rsidRPr="00501409">
        <w:rPr>
          <w:rFonts w:asciiTheme="minorHAnsi" w:hAnsiTheme="minorHAnsi" w:cstheme="minorHAnsi"/>
          <w:sz w:val="22"/>
          <w:szCs w:val="22"/>
          <w:lang w:eastAsia="el-GR"/>
        </w:rPr>
        <w:t>Wehmeyer</w:t>
      </w:r>
      <w:proofErr w:type="spellEnd"/>
      <w:r w:rsidRPr="00501409">
        <w:rPr>
          <w:rFonts w:asciiTheme="minorHAnsi" w:hAnsiTheme="minorHAnsi" w:cstheme="minorHAnsi"/>
          <w:sz w:val="22"/>
          <w:szCs w:val="22"/>
          <w:lang w:eastAsia="el-GR"/>
        </w:rPr>
        <w:t>, 2003) και την ακαδημαϊκή πρόοδο (</w:t>
      </w:r>
      <w:proofErr w:type="spellStart"/>
      <w:r w:rsidRPr="00501409">
        <w:rPr>
          <w:rFonts w:asciiTheme="minorHAnsi" w:hAnsiTheme="minorHAnsi" w:cstheme="minorHAnsi"/>
          <w:sz w:val="22"/>
          <w:szCs w:val="22"/>
          <w:lang w:eastAsia="el-GR"/>
        </w:rPr>
        <w:t>Webster</w:t>
      </w:r>
      <w:proofErr w:type="spellEnd"/>
      <w:r w:rsidRPr="00501409">
        <w:rPr>
          <w:rFonts w:asciiTheme="minorHAnsi" w:hAnsiTheme="minorHAnsi" w:cstheme="minorHAnsi"/>
          <w:sz w:val="22"/>
          <w:szCs w:val="22"/>
          <w:lang w:eastAsia="el-GR"/>
        </w:rPr>
        <w:t xml:space="preserve"> </w:t>
      </w:r>
      <w:proofErr w:type="spellStart"/>
      <w:r w:rsidRPr="00501409">
        <w:rPr>
          <w:rFonts w:asciiTheme="minorHAnsi" w:hAnsiTheme="minorHAnsi" w:cstheme="minorHAnsi"/>
          <w:sz w:val="22"/>
          <w:szCs w:val="22"/>
          <w:lang w:eastAsia="el-GR"/>
        </w:rPr>
        <w:t>et</w:t>
      </w:r>
      <w:proofErr w:type="spellEnd"/>
      <w:r w:rsidRPr="00501409">
        <w:rPr>
          <w:rFonts w:asciiTheme="minorHAnsi" w:hAnsiTheme="minorHAnsi" w:cstheme="minorHAnsi"/>
          <w:sz w:val="22"/>
          <w:szCs w:val="22"/>
          <w:lang w:eastAsia="el-GR"/>
        </w:rPr>
        <w:t xml:space="preserve"> </w:t>
      </w:r>
      <w:proofErr w:type="spellStart"/>
      <w:r w:rsidRPr="00501409">
        <w:rPr>
          <w:rFonts w:asciiTheme="minorHAnsi" w:hAnsiTheme="minorHAnsi" w:cstheme="minorHAnsi"/>
          <w:sz w:val="22"/>
          <w:szCs w:val="22"/>
          <w:lang w:eastAsia="el-GR"/>
        </w:rPr>
        <w:t>al</w:t>
      </w:r>
      <w:proofErr w:type="spellEnd"/>
      <w:r w:rsidRPr="00501409">
        <w:rPr>
          <w:rFonts w:asciiTheme="minorHAnsi" w:hAnsiTheme="minorHAnsi" w:cstheme="minorHAnsi"/>
          <w:sz w:val="22"/>
          <w:szCs w:val="22"/>
          <w:lang w:eastAsia="el-GR"/>
        </w:rPr>
        <w:t xml:space="preserve">., 2017). </w:t>
      </w:r>
      <w:r w:rsidR="002F2139" w:rsidRPr="00501409">
        <w:rPr>
          <w:rFonts w:asciiTheme="minorHAnsi" w:hAnsiTheme="minorHAnsi" w:cstheme="minorHAnsi"/>
          <w:sz w:val="22"/>
          <w:szCs w:val="22"/>
          <w:lang w:eastAsia="el-GR"/>
        </w:rPr>
        <w:lastRenderedPageBreak/>
        <w:t xml:space="preserve">Ωστόσο, το ενδιαφέρον εκτείνεται περαιτέρω και περιλαμβάνει και άλλα σχετικά πλαίσια, όπως ο χώρος εργασίας με αποτέλεσμα να εκδηλώνεται όλο και </w:t>
      </w:r>
      <w:r w:rsidR="002C58F0">
        <w:rPr>
          <w:rFonts w:asciiTheme="minorHAnsi" w:hAnsiTheme="minorHAnsi" w:cstheme="minorHAnsi"/>
          <w:sz w:val="22"/>
          <w:szCs w:val="22"/>
          <w:lang w:eastAsia="el-GR"/>
        </w:rPr>
        <w:t>εντονότερο</w:t>
      </w:r>
      <w:r w:rsidR="002F2139" w:rsidRPr="00501409">
        <w:rPr>
          <w:rFonts w:asciiTheme="minorHAnsi" w:hAnsiTheme="minorHAnsi" w:cstheme="minorHAnsi"/>
          <w:sz w:val="22"/>
          <w:szCs w:val="22"/>
          <w:lang w:eastAsia="el-GR"/>
        </w:rPr>
        <w:t xml:space="preserve"> ενδιαφέρον για τη διερεύνηση σχετικών παραγόντων και μηχανισμών που διευκολύνουν ή εμποδίζουν την επαρκή συμμετοχή των ατόμων με αναπηρία στον χώρο εργασίας. Έχουν καταγραφεί εμπόδια αλλά και παράγοντες που διευκολύνουν την απασχόληση (</w:t>
      </w:r>
      <w:proofErr w:type="spellStart"/>
      <w:r w:rsidR="002F2139" w:rsidRPr="00501409">
        <w:rPr>
          <w:rFonts w:asciiTheme="minorHAnsi" w:hAnsiTheme="minorHAnsi" w:cstheme="minorHAnsi"/>
          <w:sz w:val="22"/>
          <w:szCs w:val="22"/>
          <w:lang w:eastAsia="el-GR"/>
        </w:rPr>
        <w:t>Vornholt</w:t>
      </w:r>
      <w:proofErr w:type="spellEnd"/>
      <w:r w:rsidR="002F2139" w:rsidRPr="00501409">
        <w:rPr>
          <w:rFonts w:asciiTheme="minorHAnsi" w:hAnsiTheme="minorHAnsi" w:cstheme="minorHAnsi"/>
          <w:sz w:val="22"/>
          <w:szCs w:val="22"/>
          <w:lang w:eastAsia="el-GR"/>
        </w:rPr>
        <w:t xml:space="preserve"> </w:t>
      </w:r>
      <w:proofErr w:type="spellStart"/>
      <w:r w:rsidR="002F2139" w:rsidRPr="00501409">
        <w:rPr>
          <w:rFonts w:asciiTheme="minorHAnsi" w:hAnsiTheme="minorHAnsi" w:cstheme="minorHAnsi"/>
          <w:sz w:val="22"/>
          <w:szCs w:val="22"/>
          <w:lang w:eastAsia="el-GR"/>
        </w:rPr>
        <w:t>et</w:t>
      </w:r>
      <w:proofErr w:type="spellEnd"/>
      <w:r w:rsidR="002F2139" w:rsidRPr="00501409">
        <w:rPr>
          <w:rFonts w:asciiTheme="minorHAnsi" w:hAnsiTheme="minorHAnsi" w:cstheme="minorHAnsi"/>
          <w:sz w:val="22"/>
          <w:szCs w:val="22"/>
          <w:lang w:eastAsia="el-GR"/>
        </w:rPr>
        <w:t xml:space="preserve"> </w:t>
      </w:r>
      <w:proofErr w:type="spellStart"/>
      <w:r w:rsidR="002F2139" w:rsidRPr="00501409">
        <w:rPr>
          <w:rFonts w:asciiTheme="minorHAnsi" w:hAnsiTheme="minorHAnsi" w:cstheme="minorHAnsi"/>
          <w:sz w:val="22"/>
          <w:szCs w:val="22"/>
          <w:lang w:eastAsia="el-GR"/>
        </w:rPr>
        <w:t>al</w:t>
      </w:r>
      <w:proofErr w:type="spellEnd"/>
      <w:r w:rsidR="002F2139" w:rsidRPr="00501409">
        <w:rPr>
          <w:rFonts w:asciiTheme="minorHAnsi" w:hAnsiTheme="minorHAnsi" w:cstheme="minorHAnsi"/>
          <w:sz w:val="22"/>
          <w:szCs w:val="22"/>
          <w:lang w:eastAsia="el-GR"/>
        </w:rPr>
        <w:t>., 2018). Για παράδειγμα, το κλίμα και η συμπεριφορά των εργαζομένων  (</w:t>
      </w:r>
      <w:proofErr w:type="spellStart"/>
      <w:r w:rsidR="002F2139" w:rsidRPr="00501409">
        <w:rPr>
          <w:rFonts w:asciiTheme="minorHAnsi" w:hAnsiTheme="minorHAnsi" w:cstheme="minorHAnsi"/>
          <w:sz w:val="22"/>
          <w:szCs w:val="22"/>
          <w:lang w:eastAsia="el-GR"/>
        </w:rPr>
        <w:t>Nelissen</w:t>
      </w:r>
      <w:proofErr w:type="spellEnd"/>
      <w:r w:rsidR="002F2139" w:rsidRPr="00501409">
        <w:rPr>
          <w:rFonts w:asciiTheme="minorHAnsi" w:hAnsiTheme="minorHAnsi" w:cstheme="minorHAnsi"/>
          <w:sz w:val="22"/>
          <w:szCs w:val="22"/>
          <w:lang w:eastAsia="el-GR"/>
        </w:rPr>
        <w:t xml:space="preserve"> </w:t>
      </w:r>
      <w:proofErr w:type="spellStart"/>
      <w:r w:rsidR="002F2139" w:rsidRPr="00501409">
        <w:rPr>
          <w:rFonts w:asciiTheme="minorHAnsi" w:hAnsiTheme="minorHAnsi" w:cstheme="minorHAnsi"/>
          <w:sz w:val="22"/>
          <w:szCs w:val="22"/>
          <w:lang w:eastAsia="el-GR"/>
        </w:rPr>
        <w:t>et</w:t>
      </w:r>
      <w:proofErr w:type="spellEnd"/>
      <w:r w:rsidR="002F2139" w:rsidRPr="00501409">
        <w:rPr>
          <w:rFonts w:asciiTheme="minorHAnsi" w:hAnsiTheme="minorHAnsi" w:cstheme="minorHAnsi"/>
          <w:sz w:val="22"/>
          <w:szCs w:val="22"/>
          <w:lang w:eastAsia="el-GR"/>
        </w:rPr>
        <w:t xml:space="preserve"> </w:t>
      </w:r>
      <w:proofErr w:type="spellStart"/>
      <w:r w:rsidR="002F2139" w:rsidRPr="00501409">
        <w:rPr>
          <w:rFonts w:asciiTheme="minorHAnsi" w:hAnsiTheme="minorHAnsi" w:cstheme="minorHAnsi"/>
          <w:sz w:val="22"/>
          <w:szCs w:val="22"/>
          <w:lang w:eastAsia="el-GR"/>
        </w:rPr>
        <w:t>al</w:t>
      </w:r>
      <w:proofErr w:type="spellEnd"/>
      <w:r w:rsidR="002F2139" w:rsidRPr="00501409">
        <w:rPr>
          <w:rFonts w:asciiTheme="minorHAnsi" w:hAnsiTheme="minorHAnsi" w:cstheme="minorHAnsi"/>
          <w:sz w:val="22"/>
          <w:szCs w:val="22"/>
          <w:lang w:eastAsia="el-GR"/>
        </w:rPr>
        <w:t>., 2017), ο σχεδιασμός προγραμμάτων για την ένταξη στην αγορά εργασίας (</w:t>
      </w:r>
      <w:proofErr w:type="spellStart"/>
      <w:r w:rsidR="002F2139" w:rsidRPr="00501409">
        <w:rPr>
          <w:rFonts w:asciiTheme="minorHAnsi" w:hAnsiTheme="minorHAnsi" w:cstheme="minorHAnsi"/>
          <w:sz w:val="22"/>
          <w:szCs w:val="22"/>
          <w:lang w:eastAsia="el-GR"/>
        </w:rPr>
        <w:t>Medina</w:t>
      </w:r>
      <w:proofErr w:type="spellEnd"/>
      <w:r w:rsidR="002F2139" w:rsidRPr="00501409">
        <w:rPr>
          <w:rFonts w:asciiTheme="minorHAnsi" w:hAnsiTheme="minorHAnsi" w:cstheme="minorHAnsi"/>
          <w:sz w:val="22"/>
          <w:szCs w:val="22"/>
          <w:lang w:eastAsia="el-GR"/>
        </w:rPr>
        <w:t xml:space="preserve"> &amp; </w:t>
      </w:r>
      <w:proofErr w:type="spellStart"/>
      <w:r w:rsidR="002F2139" w:rsidRPr="00501409">
        <w:rPr>
          <w:rFonts w:asciiTheme="minorHAnsi" w:hAnsiTheme="minorHAnsi" w:cstheme="minorHAnsi"/>
          <w:sz w:val="22"/>
          <w:szCs w:val="22"/>
          <w:lang w:eastAsia="el-GR"/>
        </w:rPr>
        <w:t>Gamero</w:t>
      </w:r>
      <w:proofErr w:type="spellEnd"/>
      <w:r w:rsidR="002F2139" w:rsidRPr="00501409">
        <w:rPr>
          <w:rFonts w:asciiTheme="minorHAnsi" w:hAnsiTheme="minorHAnsi" w:cstheme="minorHAnsi"/>
          <w:sz w:val="22"/>
          <w:szCs w:val="22"/>
          <w:lang w:eastAsia="el-GR"/>
        </w:rPr>
        <w:t xml:space="preserve">, 2017; </w:t>
      </w:r>
      <w:proofErr w:type="spellStart"/>
      <w:r w:rsidR="002F2139" w:rsidRPr="00501409">
        <w:rPr>
          <w:rFonts w:asciiTheme="minorHAnsi" w:hAnsiTheme="minorHAnsi" w:cstheme="minorHAnsi"/>
          <w:sz w:val="22"/>
          <w:szCs w:val="22"/>
          <w:lang w:eastAsia="el-GR"/>
        </w:rPr>
        <w:t>Munduate</w:t>
      </w:r>
      <w:proofErr w:type="spellEnd"/>
      <w:r w:rsidR="002F2139" w:rsidRPr="00501409">
        <w:rPr>
          <w:rFonts w:asciiTheme="minorHAnsi" w:hAnsiTheme="minorHAnsi" w:cstheme="minorHAnsi"/>
          <w:sz w:val="22"/>
          <w:szCs w:val="22"/>
          <w:lang w:eastAsia="el-GR"/>
        </w:rPr>
        <w:t xml:space="preserve"> </w:t>
      </w:r>
      <w:proofErr w:type="spellStart"/>
      <w:r w:rsidR="002F2139" w:rsidRPr="00501409">
        <w:rPr>
          <w:rFonts w:asciiTheme="minorHAnsi" w:hAnsiTheme="minorHAnsi" w:cstheme="minorHAnsi"/>
          <w:sz w:val="22"/>
          <w:szCs w:val="22"/>
          <w:lang w:eastAsia="el-GR"/>
        </w:rPr>
        <w:t>et</w:t>
      </w:r>
      <w:proofErr w:type="spellEnd"/>
      <w:r w:rsidR="002F2139" w:rsidRPr="00501409">
        <w:rPr>
          <w:rFonts w:asciiTheme="minorHAnsi" w:hAnsiTheme="minorHAnsi" w:cstheme="minorHAnsi"/>
          <w:sz w:val="22"/>
          <w:szCs w:val="22"/>
          <w:lang w:eastAsia="el-GR"/>
        </w:rPr>
        <w:t xml:space="preserve"> </w:t>
      </w:r>
      <w:proofErr w:type="spellStart"/>
      <w:r w:rsidR="002F2139" w:rsidRPr="00501409">
        <w:rPr>
          <w:rFonts w:asciiTheme="minorHAnsi" w:hAnsiTheme="minorHAnsi" w:cstheme="minorHAnsi"/>
          <w:sz w:val="22"/>
          <w:szCs w:val="22"/>
          <w:lang w:eastAsia="el-GR"/>
        </w:rPr>
        <w:t>al</w:t>
      </w:r>
      <w:proofErr w:type="spellEnd"/>
      <w:r w:rsidR="002F2139" w:rsidRPr="00501409">
        <w:rPr>
          <w:rFonts w:asciiTheme="minorHAnsi" w:hAnsiTheme="minorHAnsi" w:cstheme="minorHAnsi"/>
          <w:sz w:val="22"/>
          <w:szCs w:val="22"/>
          <w:lang w:eastAsia="el-GR"/>
        </w:rPr>
        <w:t>., 2014), ο επανασχεδιασμός των συνθηκών εργασίας σε οργανισμούς χωρίς αποκλεισμούς (</w:t>
      </w:r>
      <w:proofErr w:type="spellStart"/>
      <w:r w:rsidR="002F2139" w:rsidRPr="00501409">
        <w:rPr>
          <w:rFonts w:asciiTheme="minorHAnsi" w:hAnsiTheme="minorHAnsi" w:cstheme="minorHAnsi"/>
          <w:sz w:val="22"/>
          <w:szCs w:val="22"/>
          <w:lang w:eastAsia="el-GR"/>
        </w:rPr>
        <w:t>Zijlstra</w:t>
      </w:r>
      <w:proofErr w:type="spellEnd"/>
      <w:r w:rsidR="002F2139" w:rsidRPr="00501409">
        <w:rPr>
          <w:rFonts w:asciiTheme="minorHAnsi" w:hAnsiTheme="minorHAnsi" w:cstheme="minorHAnsi"/>
          <w:sz w:val="22"/>
          <w:szCs w:val="22"/>
          <w:lang w:eastAsia="el-GR"/>
        </w:rPr>
        <w:t xml:space="preserve"> </w:t>
      </w:r>
      <w:proofErr w:type="spellStart"/>
      <w:r w:rsidR="002F2139" w:rsidRPr="00501409">
        <w:rPr>
          <w:rFonts w:asciiTheme="minorHAnsi" w:hAnsiTheme="minorHAnsi" w:cstheme="minorHAnsi"/>
          <w:sz w:val="22"/>
          <w:szCs w:val="22"/>
          <w:lang w:eastAsia="el-GR"/>
        </w:rPr>
        <w:t>et</w:t>
      </w:r>
      <w:proofErr w:type="spellEnd"/>
      <w:r w:rsidR="002F2139" w:rsidRPr="00501409">
        <w:rPr>
          <w:rFonts w:asciiTheme="minorHAnsi" w:hAnsiTheme="minorHAnsi" w:cstheme="minorHAnsi"/>
          <w:sz w:val="22"/>
          <w:szCs w:val="22"/>
          <w:lang w:eastAsia="el-GR"/>
        </w:rPr>
        <w:t xml:space="preserve"> </w:t>
      </w:r>
      <w:proofErr w:type="spellStart"/>
      <w:r w:rsidR="002F2139" w:rsidRPr="00501409">
        <w:rPr>
          <w:rFonts w:asciiTheme="minorHAnsi" w:hAnsiTheme="minorHAnsi" w:cstheme="minorHAnsi"/>
          <w:sz w:val="22"/>
          <w:szCs w:val="22"/>
          <w:lang w:eastAsia="el-GR"/>
        </w:rPr>
        <w:t>al</w:t>
      </w:r>
      <w:proofErr w:type="spellEnd"/>
      <w:r w:rsidR="002F2139" w:rsidRPr="00501409">
        <w:rPr>
          <w:rFonts w:asciiTheme="minorHAnsi" w:hAnsiTheme="minorHAnsi" w:cstheme="minorHAnsi"/>
          <w:sz w:val="22"/>
          <w:szCs w:val="22"/>
          <w:lang w:eastAsia="el-GR"/>
        </w:rPr>
        <w:t xml:space="preserve">., 2017) και η ανάδειξη και υποστήριξη ομάδων εργασίας που προσανατολίζονται προς την κοινωνική </w:t>
      </w:r>
      <w:r w:rsidR="002C58F0">
        <w:rPr>
          <w:rFonts w:asciiTheme="minorHAnsi" w:hAnsiTheme="minorHAnsi" w:cstheme="minorHAnsi"/>
          <w:sz w:val="22"/>
          <w:szCs w:val="22"/>
          <w:lang w:eastAsia="el-GR"/>
        </w:rPr>
        <w:t>συμμετοχή</w:t>
      </w:r>
      <w:r w:rsidR="002F2139" w:rsidRPr="00501409">
        <w:rPr>
          <w:rFonts w:asciiTheme="minorHAnsi" w:hAnsiTheme="minorHAnsi" w:cstheme="minorHAnsi"/>
          <w:sz w:val="22"/>
          <w:szCs w:val="22"/>
          <w:lang w:eastAsia="el-GR"/>
        </w:rPr>
        <w:t xml:space="preserve"> (</w:t>
      </w:r>
      <w:proofErr w:type="spellStart"/>
      <w:r w:rsidR="002F2139" w:rsidRPr="00501409">
        <w:rPr>
          <w:rFonts w:asciiTheme="minorHAnsi" w:hAnsiTheme="minorHAnsi" w:cstheme="minorHAnsi"/>
          <w:sz w:val="22"/>
          <w:szCs w:val="22"/>
          <w:lang w:eastAsia="el-GR"/>
        </w:rPr>
        <w:t>Bruyère</w:t>
      </w:r>
      <w:proofErr w:type="spellEnd"/>
      <w:r w:rsidR="002F2139" w:rsidRPr="00501409">
        <w:rPr>
          <w:rFonts w:asciiTheme="minorHAnsi" w:hAnsiTheme="minorHAnsi" w:cstheme="minorHAnsi"/>
          <w:sz w:val="22"/>
          <w:szCs w:val="22"/>
          <w:lang w:eastAsia="el-GR"/>
        </w:rPr>
        <w:t xml:space="preserve"> &amp; </w:t>
      </w:r>
      <w:proofErr w:type="spellStart"/>
      <w:r w:rsidR="002F2139" w:rsidRPr="00501409">
        <w:rPr>
          <w:rFonts w:asciiTheme="minorHAnsi" w:hAnsiTheme="minorHAnsi" w:cstheme="minorHAnsi"/>
          <w:sz w:val="22"/>
          <w:szCs w:val="22"/>
          <w:lang w:eastAsia="el-GR"/>
        </w:rPr>
        <w:t>Martínez-Tur</w:t>
      </w:r>
      <w:proofErr w:type="spellEnd"/>
      <w:r w:rsidR="002F2139" w:rsidRPr="00501409">
        <w:rPr>
          <w:rFonts w:asciiTheme="minorHAnsi" w:hAnsiTheme="minorHAnsi" w:cstheme="minorHAnsi"/>
          <w:sz w:val="22"/>
          <w:szCs w:val="22"/>
          <w:lang w:eastAsia="el-GR"/>
        </w:rPr>
        <w:t xml:space="preserve">, 2019) είναι στοιχεία τα οποία συντελούν στην ευημερία των αναπήρων και δημιουργούν τις συνθήκες για μια ποιότητα στην καθημερινότητά τους. </w:t>
      </w:r>
    </w:p>
    <w:p w14:paraId="4CD6CC21" w14:textId="0B8F8216" w:rsidR="00501409" w:rsidRDefault="00BA44F5" w:rsidP="00CD0160">
      <w:pPr>
        <w:ind w:firstLine="284"/>
        <w:jc w:val="both"/>
        <w:rPr>
          <w:rFonts w:asciiTheme="minorHAnsi" w:hAnsiTheme="minorHAnsi" w:cstheme="minorHAnsi"/>
          <w:sz w:val="22"/>
          <w:szCs w:val="22"/>
          <w:lang w:eastAsia="el-GR"/>
        </w:rPr>
      </w:pPr>
      <w:r w:rsidRPr="00501409">
        <w:rPr>
          <w:rFonts w:asciiTheme="minorHAnsi" w:hAnsiTheme="minorHAnsi" w:cstheme="minorHAnsi"/>
          <w:sz w:val="22"/>
          <w:szCs w:val="22"/>
          <w:lang w:eastAsia="el-GR"/>
        </w:rPr>
        <w:t>Η αναπηρία, επομένως, συνιστά ένα πολυδιάστατο φαινόμενο που διαμορφώνεται από την αλληλεπίδραση ατομικών και κοινωνικών παραγόντων.</w:t>
      </w:r>
      <w:r w:rsidR="00501409" w:rsidRPr="00501409">
        <w:rPr>
          <w:rFonts w:asciiTheme="minorHAnsi" w:hAnsiTheme="minorHAnsi" w:cstheme="minorHAnsi"/>
          <w:sz w:val="22"/>
          <w:szCs w:val="22"/>
        </w:rPr>
        <w:t xml:space="preserve"> </w:t>
      </w:r>
      <w:r w:rsidRPr="00501409">
        <w:rPr>
          <w:rFonts w:asciiTheme="minorHAnsi" w:hAnsiTheme="minorHAnsi" w:cstheme="minorHAnsi"/>
          <w:sz w:val="22"/>
          <w:szCs w:val="22"/>
          <w:lang w:eastAsia="el-GR"/>
        </w:rPr>
        <w:t xml:space="preserve">Η εννοιολογική </w:t>
      </w:r>
      <w:r w:rsidR="00501409" w:rsidRPr="00501409">
        <w:rPr>
          <w:rFonts w:asciiTheme="minorHAnsi" w:hAnsiTheme="minorHAnsi" w:cstheme="minorHAnsi"/>
          <w:sz w:val="22"/>
          <w:szCs w:val="22"/>
          <w:lang w:eastAsia="el-GR"/>
        </w:rPr>
        <w:t>προσέγγιση</w:t>
      </w:r>
      <w:r w:rsidRPr="00501409">
        <w:rPr>
          <w:rFonts w:asciiTheme="minorHAnsi" w:hAnsiTheme="minorHAnsi" w:cstheme="minorHAnsi"/>
          <w:sz w:val="22"/>
          <w:szCs w:val="22"/>
          <w:lang w:eastAsia="el-GR"/>
        </w:rPr>
        <w:t xml:space="preserve"> της αναπηρίας έχει </w:t>
      </w:r>
      <w:r w:rsidR="00501409" w:rsidRPr="00501409">
        <w:rPr>
          <w:rFonts w:asciiTheme="minorHAnsi" w:hAnsiTheme="minorHAnsi" w:cstheme="minorHAnsi"/>
          <w:sz w:val="22"/>
          <w:szCs w:val="22"/>
          <w:lang w:eastAsia="el-GR"/>
        </w:rPr>
        <w:t xml:space="preserve">μετακινηθεί </w:t>
      </w:r>
      <w:r w:rsidRPr="00501409">
        <w:rPr>
          <w:rFonts w:asciiTheme="minorHAnsi" w:hAnsiTheme="minorHAnsi" w:cstheme="minorHAnsi"/>
          <w:sz w:val="22"/>
          <w:szCs w:val="22"/>
          <w:lang w:eastAsia="el-GR"/>
        </w:rPr>
        <w:t>τις τελευταίες δεκαετίες</w:t>
      </w:r>
      <w:r w:rsidR="00501409" w:rsidRPr="00501409">
        <w:rPr>
          <w:rFonts w:asciiTheme="minorHAnsi" w:hAnsiTheme="minorHAnsi" w:cstheme="minorHAnsi"/>
          <w:sz w:val="22"/>
          <w:szCs w:val="22"/>
          <w:lang w:eastAsia="el-GR"/>
        </w:rPr>
        <w:t xml:space="preserve"> </w:t>
      </w:r>
      <w:r w:rsidRPr="00501409">
        <w:rPr>
          <w:rFonts w:asciiTheme="minorHAnsi" w:hAnsiTheme="minorHAnsi" w:cstheme="minorHAnsi"/>
          <w:sz w:val="22"/>
          <w:szCs w:val="22"/>
          <w:lang w:eastAsia="el-GR"/>
        </w:rPr>
        <w:t xml:space="preserve">από την παραδοσιακή ιατρική προσέγγιση προς περισσότερο κοινωνικά και ανθρωποκεντρικά μοντέλα. Δύο από τις σημαντικότερες θεωρητικές προσεγγίσεις που έχουν συμβάλει στη διαμόρφωση της σύγχρονης αντίληψης για την αναπηρία είναι το </w:t>
      </w:r>
      <w:r w:rsidRPr="00501409">
        <w:rPr>
          <w:rFonts w:asciiTheme="minorHAnsi" w:hAnsiTheme="minorHAnsi" w:cstheme="minorHAnsi"/>
          <w:bCs/>
          <w:sz w:val="22"/>
          <w:szCs w:val="22"/>
          <w:lang w:eastAsia="el-GR"/>
        </w:rPr>
        <w:t>κοινωνικό μοντέλο</w:t>
      </w:r>
      <w:r w:rsidRPr="00501409">
        <w:rPr>
          <w:rFonts w:asciiTheme="minorHAnsi" w:hAnsiTheme="minorHAnsi" w:cstheme="minorHAnsi"/>
          <w:sz w:val="22"/>
          <w:szCs w:val="22"/>
          <w:lang w:eastAsia="el-GR"/>
        </w:rPr>
        <w:t xml:space="preserve"> και το </w:t>
      </w:r>
      <w:r w:rsidRPr="00501409">
        <w:rPr>
          <w:rFonts w:asciiTheme="minorHAnsi" w:hAnsiTheme="minorHAnsi" w:cstheme="minorHAnsi"/>
          <w:bCs/>
          <w:sz w:val="22"/>
          <w:szCs w:val="22"/>
          <w:lang w:eastAsia="el-GR"/>
        </w:rPr>
        <w:t>μοντέλο των ανθρωπίνων δικαιωμάτων</w:t>
      </w:r>
      <w:r w:rsidRPr="00501409">
        <w:rPr>
          <w:rFonts w:asciiTheme="minorHAnsi" w:hAnsiTheme="minorHAnsi" w:cstheme="minorHAnsi"/>
          <w:sz w:val="22"/>
          <w:szCs w:val="22"/>
          <w:lang w:eastAsia="el-GR"/>
        </w:rPr>
        <w:t>.</w:t>
      </w:r>
    </w:p>
    <w:p w14:paraId="058B1071" w14:textId="77777777" w:rsidR="00ED0A98" w:rsidRPr="00ED0A98" w:rsidRDefault="00ED0A98" w:rsidP="00CD0160">
      <w:pPr>
        <w:spacing w:before="240"/>
        <w:ind w:firstLine="284"/>
        <w:jc w:val="both"/>
        <w:outlineLvl w:val="2"/>
        <w:rPr>
          <w:rFonts w:asciiTheme="minorHAnsi" w:hAnsiTheme="minorHAnsi" w:cstheme="minorHAnsi"/>
          <w:b/>
          <w:bCs/>
          <w:color w:val="FF0000"/>
          <w:sz w:val="22"/>
          <w:szCs w:val="22"/>
          <w:lang w:eastAsia="el-GR"/>
        </w:rPr>
      </w:pPr>
      <w:r w:rsidRPr="00ED0A98">
        <w:rPr>
          <w:rFonts w:asciiTheme="minorHAnsi" w:hAnsiTheme="minorHAnsi" w:cstheme="minorHAnsi"/>
          <w:b/>
          <w:bCs/>
          <w:color w:val="FF0000"/>
          <w:sz w:val="22"/>
          <w:szCs w:val="22"/>
          <w:lang w:eastAsia="el-GR"/>
        </w:rPr>
        <w:t>Θεωρητικό Μέρος</w:t>
      </w:r>
    </w:p>
    <w:p w14:paraId="3046615C" w14:textId="5567AE00" w:rsidR="00501409" w:rsidRPr="00ED0A98" w:rsidRDefault="00501409" w:rsidP="00CD0160">
      <w:pPr>
        <w:spacing w:before="240"/>
        <w:ind w:firstLine="284"/>
        <w:jc w:val="both"/>
        <w:outlineLvl w:val="2"/>
        <w:rPr>
          <w:rFonts w:asciiTheme="minorHAnsi" w:hAnsiTheme="minorHAnsi" w:cstheme="minorHAnsi"/>
          <w:i/>
          <w:iCs/>
          <w:sz w:val="22"/>
          <w:szCs w:val="22"/>
          <w:lang w:eastAsia="el-GR"/>
        </w:rPr>
      </w:pPr>
      <w:r w:rsidRPr="00ED0A98">
        <w:rPr>
          <w:rFonts w:asciiTheme="minorHAnsi" w:hAnsiTheme="minorHAnsi" w:cstheme="minorHAnsi"/>
          <w:i/>
          <w:iCs/>
          <w:sz w:val="22"/>
          <w:szCs w:val="22"/>
          <w:lang w:eastAsia="el-GR"/>
        </w:rPr>
        <w:t>Το Κοινωνικό Μοντέλο της Αναπηρίας</w:t>
      </w:r>
    </w:p>
    <w:p w14:paraId="1711CA62" w14:textId="2111CA44" w:rsidR="00501409" w:rsidRPr="00F42FFC" w:rsidRDefault="00501409" w:rsidP="002C58F0">
      <w:pPr>
        <w:ind w:firstLine="284"/>
        <w:jc w:val="both"/>
        <w:rPr>
          <w:rFonts w:asciiTheme="minorHAnsi" w:hAnsiTheme="minorHAnsi" w:cstheme="minorHAnsi"/>
          <w:sz w:val="22"/>
          <w:szCs w:val="22"/>
          <w:lang w:eastAsia="el-GR"/>
        </w:rPr>
      </w:pPr>
      <w:r w:rsidRPr="00F42FFC">
        <w:rPr>
          <w:rFonts w:asciiTheme="minorHAnsi" w:hAnsiTheme="minorHAnsi" w:cstheme="minorHAnsi"/>
          <w:sz w:val="22"/>
          <w:szCs w:val="22"/>
          <w:lang w:eastAsia="el-GR"/>
        </w:rPr>
        <w:t xml:space="preserve">Στις αρχές της δεκαετίας του 1970, το αναπηρικό κίνημα έθεσε τις βάσεις για τη διαμόρφωση </w:t>
      </w:r>
      <w:r w:rsidRPr="00501409">
        <w:rPr>
          <w:rFonts w:asciiTheme="minorHAnsi" w:hAnsiTheme="minorHAnsi" w:cstheme="minorHAnsi"/>
          <w:sz w:val="22"/>
          <w:szCs w:val="22"/>
          <w:lang w:eastAsia="el-GR"/>
        </w:rPr>
        <w:t xml:space="preserve">του </w:t>
      </w:r>
      <w:r w:rsidRPr="00501409">
        <w:rPr>
          <w:rFonts w:asciiTheme="minorHAnsi" w:hAnsiTheme="minorHAnsi" w:cstheme="minorHAnsi"/>
          <w:bCs/>
          <w:sz w:val="22"/>
          <w:szCs w:val="22"/>
          <w:lang w:eastAsia="el-GR"/>
        </w:rPr>
        <w:t>Κοινωνικού Μοντέλου της Αναπηρίας</w:t>
      </w:r>
      <w:r w:rsidRPr="00501409">
        <w:rPr>
          <w:rFonts w:asciiTheme="minorHAnsi" w:hAnsiTheme="minorHAnsi" w:cstheme="minorHAnsi"/>
          <w:sz w:val="22"/>
          <w:szCs w:val="22"/>
          <w:lang w:eastAsia="el-GR"/>
        </w:rPr>
        <w:t xml:space="preserve">, ως απάντηση στο </w:t>
      </w:r>
      <w:r w:rsidRPr="00501409">
        <w:rPr>
          <w:rFonts w:asciiTheme="minorHAnsi" w:hAnsiTheme="minorHAnsi" w:cstheme="minorHAnsi"/>
          <w:bCs/>
          <w:sz w:val="22"/>
          <w:szCs w:val="22"/>
          <w:lang w:eastAsia="el-GR"/>
        </w:rPr>
        <w:t>Ιατρικό Μοντέλο</w:t>
      </w:r>
      <w:r w:rsidRPr="00501409">
        <w:rPr>
          <w:rFonts w:asciiTheme="minorHAnsi" w:hAnsiTheme="minorHAnsi" w:cstheme="minorHAnsi"/>
          <w:sz w:val="22"/>
          <w:szCs w:val="22"/>
          <w:lang w:eastAsia="el-GR"/>
        </w:rPr>
        <w:t>, το οποίο προσδιόριζε την αναπηρία ως αποτέλεσμα ατομικής «βλάβης» και εστίαζε κυρίως</w:t>
      </w:r>
      <w:r w:rsidRPr="00F42FFC">
        <w:rPr>
          <w:rFonts w:asciiTheme="minorHAnsi" w:hAnsiTheme="minorHAnsi" w:cstheme="minorHAnsi"/>
          <w:sz w:val="22"/>
          <w:szCs w:val="22"/>
          <w:lang w:eastAsia="el-GR"/>
        </w:rPr>
        <w:t xml:space="preserve"> στη θεραπεία και φροντίδα του ατόμου, με στόχο τη βελτίωση της λειτουργικότητάς του (</w:t>
      </w:r>
      <w:proofErr w:type="spellStart"/>
      <w:r w:rsidRPr="00F42FFC">
        <w:rPr>
          <w:rFonts w:asciiTheme="minorHAnsi" w:hAnsiTheme="minorHAnsi" w:cstheme="minorHAnsi"/>
          <w:sz w:val="22"/>
          <w:szCs w:val="22"/>
          <w:lang w:eastAsia="el-GR"/>
        </w:rPr>
        <w:t>Shakespeare</w:t>
      </w:r>
      <w:proofErr w:type="spellEnd"/>
      <w:r w:rsidRPr="00F42FFC">
        <w:rPr>
          <w:rFonts w:asciiTheme="minorHAnsi" w:hAnsiTheme="minorHAnsi" w:cstheme="minorHAnsi"/>
          <w:sz w:val="22"/>
          <w:szCs w:val="22"/>
          <w:lang w:eastAsia="el-GR"/>
        </w:rPr>
        <w:t xml:space="preserve">, 2013). Το κοινωνικό μοντέλο σηματοδότησε μια ουσιαστική μετατόπιση από την </w:t>
      </w:r>
      <w:proofErr w:type="spellStart"/>
      <w:r w:rsidRPr="00F42FFC">
        <w:rPr>
          <w:rFonts w:asciiTheme="minorHAnsi" w:hAnsiTheme="minorHAnsi" w:cstheme="minorHAnsi"/>
          <w:sz w:val="22"/>
          <w:szCs w:val="22"/>
          <w:lang w:eastAsia="el-GR"/>
        </w:rPr>
        <w:t>ατομοκεντρική</w:t>
      </w:r>
      <w:proofErr w:type="spellEnd"/>
      <w:r w:rsidRPr="00F42FFC">
        <w:rPr>
          <w:rFonts w:asciiTheme="minorHAnsi" w:hAnsiTheme="minorHAnsi" w:cstheme="minorHAnsi"/>
          <w:sz w:val="22"/>
          <w:szCs w:val="22"/>
          <w:lang w:eastAsia="el-GR"/>
        </w:rPr>
        <w:t>, ιατρική προσέγγιση προς την αντίληψη της αναπηρίας ως κοινωνικής κατασκευής (</w:t>
      </w:r>
      <w:proofErr w:type="spellStart"/>
      <w:r w:rsidRPr="00F42FFC">
        <w:rPr>
          <w:rFonts w:asciiTheme="minorHAnsi" w:hAnsiTheme="minorHAnsi" w:cstheme="minorHAnsi"/>
          <w:sz w:val="22"/>
          <w:szCs w:val="22"/>
          <w:lang w:eastAsia="el-GR"/>
        </w:rPr>
        <w:t>Anastasiou</w:t>
      </w:r>
      <w:proofErr w:type="spellEnd"/>
      <w:r w:rsidRPr="00F42FFC">
        <w:rPr>
          <w:rFonts w:asciiTheme="minorHAnsi" w:hAnsiTheme="minorHAnsi" w:cstheme="minorHAnsi"/>
          <w:sz w:val="22"/>
          <w:szCs w:val="22"/>
          <w:lang w:eastAsia="el-GR"/>
        </w:rPr>
        <w:t xml:space="preserve"> &amp; </w:t>
      </w:r>
      <w:proofErr w:type="spellStart"/>
      <w:r w:rsidRPr="00F42FFC">
        <w:rPr>
          <w:rFonts w:asciiTheme="minorHAnsi" w:hAnsiTheme="minorHAnsi" w:cstheme="minorHAnsi"/>
          <w:sz w:val="22"/>
          <w:szCs w:val="22"/>
          <w:lang w:eastAsia="el-GR"/>
        </w:rPr>
        <w:t>Kauffman</w:t>
      </w:r>
      <w:proofErr w:type="spellEnd"/>
      <w:r w:rsidRPr="00F42FFC">
        <w:rPr>
          <w:rFonts w:asciiTheme="minorHAnsi" w:hAnsiTheme="minorHAnsi" w:cstheme="minorHAnsi"/>
          <w:sz w:val="22"/>
          <w:szCs w:val="22"/>
          <w:lang w:eastAsia="el-GR"/>
        </w:rPr>
        <w:t>, 2011). Σύμφωνα με αυτή τη θεώρηση, η αναπηρία δεν προκύπτει αποκλειστικά από τις βιολογικές ή σωματικές ιδιαιτερότητες του ατόμου, αλλά αποτελεί προϊόν κοινωνικών και περιβαλλοντικών φραγμών που περιορίζουν τη συμμετοχή και την ένταξή του στην κοινωνία.</w:t>
      </w:r>
    </w:p>
    <w:p w14:paraId="208DE1C7" w14:textId="1943008B" w:rsidR="00501409" w:rsidRPr="00F42FFC" w:rsidRDefault="00501409" w:rsidP="00501409">
      <w:pPr>
        <w:ind w:firstLine="284"/>
        <w:jc w:val="both"/>
        <w:rPr>
          <w:rFonts w:asciiTheme="minorHAnsi" w:hAnsiTheme="minorHAnsi" w:cstheme="minorHAnsi"/>
          <w:sz w:val="22"/>
          <w:szCs w:val="22"/>
          <w:lang w:eastAsia="el-GR"/>
        </w:rPr>
      </w:pPr>
      <w:r w:rsidRPr="00F42FFC">
        <w:rPr>
          <w:rFonts w:asciiTheme="minorHAnsi" w:hAnsiTheme="minorHAnsi" w:cstheme="minorHAnsi"/>
          <w:sz w:val="22"/>
          <w:szCs w:val="22"/>
          <w:lang w:eastAsia="el-GR"/>
        </w:rPr>
        <w:t xml:space="preserve">Το 1983, ο </w:t>
      </w:r>
      <w:proofErr w:type="spellStart"/>
      <w:r w:rsidRPr="00F42FFC">
        <w:rPr>
          <w:rFonts w:asciiTheme="minorHAnsi" w:hAnsiTheme="minorHAnsi" w:cstheme="minorHAnsi"/>
          <w:sz w:val="22"/>
          <w:szCs w:val="22"/>
          <w:lang w:eastAsia="el-GR"/>
        </w:rPr>
        <w:t>Oliver</w:t>
      </w:r>
      <w:proofErr w:type="spellEnd"/>
      <w:r w:rsidRPr="00F42FFC">
        <w:rPr>
          <w:rFonts w:asciiTheme="minorHAnsi" w:hAnsiTheme="minorHAnsi" w:cstheme="minorHAnsi"/>
          <w:sz w:val="22"/>
          <w:szCs w:val="22"/>
          <w:lang w:eastAsia="el-GR"/>
        </w:rPr>
        <w:t xml:space="preserve"> καθιέρωσε τον όρο </w:t>
      </w:r>
      <w:r>
        <w:rPr>
          <w:rFonts w:asciiTheme="minorHAnsi" w:hAnsiTheme="minorHAnsi" w:cstheme="minorHAnsi"/>
          <w:sz w:val="22"/>
          <w:szCs w:val="22"/>
          <w:lang w:eastAsia="el-GR"/>
        </w:rPr>
        <w:t>Κοινωνικό Μοντέλο της Αναπηρίας (</w:t>
      </w:r>
      <w:r w:rsidRPr="00F42FFC">
        <w:rPr>
          <w:rFonts w:asciiTheme="minorHAnsi" w:hAnsiTheme="minorHAnsi" w:cstheme="minorHAnsi"/>
          <w:i/>
          <w:iCs/>
          <w:sz w:val="22"/>
          <w:szCs w:val="22"/>
          <w:lang w:eastAsia="el-GR"/>
        </w:rPr>
        <w:t xml:space="preserve">Social </w:t>
      </w:r>
      <w:r>
        <w:rPr>
          <w:rFonts w:asciiTheme="minorHAnsi" w:hAnsiTheme="minorHAnsi" w:cstheme="minorHAnsi"/>
          <w:i/>
          <w:iCs/>
          <w:sz w:val="22"/>
          <w:szCs w:val="22"/>
          <w:lang w:val="en-US" w:eastAsia="el-GR"/>
        </w:rPr>
        <w:t>M</w:t>
      </w:r>
      <w:proofErr w:type="spellStart"/>
      <w:r w:rsidRPr="00F42FFC">
        <w:rPr>
          <w:rFonts w:asciiTheme="minorHAnsi" w:hAnsiTheme="minorHAnsi" w:cstheme="minorHAnsi"/>
          <w:i/>
          <w:iCs/>
          <w:sz w:val="22"/>
          <w:szCs w:val="22"/>
          <w:lang w:eastAsia="el-GR"/>
        </w:rPr>
        <w:t>odel</w:t>
      </w:r>
      <w:proofErr w:type="spellEnd"/>
      <w:r w:rsidRPr="00F42FFC">
        <w:rPr>
          <w:rFonts w:asciiTheme="minorHAnsi" w:hAnsiTheme="minorHAnsi" w:cstheme="minorHAnsi"/>
          <w:i/>
          <w:iCs/>
          <w:sz w:val="22"/>
          <w:szCs w:val="22"/>
          <w:lang w:eastAsia="el-GR"/>
        </w:rPr>
        <w:t xml:space="preserve"> of </w:t>
      </w:r>
      <w:r>
        <w:rPr>
          <w:rFonts w:asciiTheme="minorHAnsi" w:hAnsiTheme="minorHAnsi" w:cstheme="minorHAnsi"/>
          <w:i/>
          <w:iCs/>
          <w:sz w:val="22"/>
          <w:szCs w:val="22"/>
          <w:lang w:val="en-US" w:eastAsia="el-GR"/>
        </w:rPr>
        <w:t>D</w:t>
      </w:r>
      <w:proofErr w:type="spellStart"/>
      <w:r w:rsidRPr="00F42FFC">
        <w:rPr>
          <w:rFonts w:asciiTheme="minorHAnsi" w:hAnsiTheme="minorHAnsi" w:cstheme="minorHAnsi"/>
          <w:i/>
          <w:iCs/>
          <w:sz w:val="22"/>
          <w:szCs w:val="22"/>
          <w:lang w:eastAsia="el-GR"/>
        </w:rPr>
        <w:t>isability</w:t>
      </w:r>
      <w:proofErr w:type="spellEnd"/>
      <w:r w:rsidRPr="00501409">
        <w:rPr>
          <w:rFonts w:asciiTheme="minorHAnsi" w:hAnsiTheme="minorHAnsi" w:cstheme="minorHAnsi"/>
          <w:i/>
          <w:iCs/>
          <w:sz w:val="22"/>
          <w:szCs w:val="22"/>
          <w:lang w:eastAsia="el-GR"/>
        </w:rPr>
        <w:t>)</w:t>
      </w:r>
      <w:r w:rsidRPr="00F42FFC">
        <w:rPr>
          <w:rFonts w:asciiTheme="minorHAnsi" w:hAnsiTheme="minorHAnsi" w:cstheme="minorHAnsi"/>
          <w:sz w:val="22"/>
          <w:szCs w:val="22"/>
          <w:lang w:eastAsia="el-GR"/>
        </w:rPr>
        <w:t>, υποστηρίζοντας ότι η αναπηρία πηγάζει από την αλληλεπίδραση ανάμεσα στους ατομικούς περιορισμούς και στις κοινωνικές δομές που παράγουν αποκλεισμό και περιθωριοποίηση (</w:t>
      </w:r>
      <w:proofErr w:type="spellStart"/>
      <w:r w:rsidRPr="00F42FFC">
        <w:rPr>
          <w:rFonts w:asciiTheme="minorHAnsi" w:hAnsiTheme="minorHAnsi" w:cstheme="minorHAnsi"/>
          <w:sz w:val="22"/>
          <w:szCs w:val="22"/>
          <w:lang w:eastAsia="el-GR"/>
        </w:rPr>
        <w:t>Oliver</w:t>
      </w:r>
      <w:proofErr w:type="spellEnd"/>
      <w:r w:rsidRPr="00F42FFC">
        <w:rPr>
          <w:rFonts w:asciiTheme="minorHAnsi" w:hAnsiTheme="minorHAnsi" w:cstheme="minorHAnsi"/>
          <w:sz w:val="22"/>
          <w:szCs w:val="22"/>
          <w:lang w:eastAsia="el-GR"/>
        </w:rPr>
        <w:t>, 1990). Με άλλα λόγια, η αναπηρία θεωρείται κοινωνικό και όχι ατομικό πρόβλημα, καθώς οι κοινωνικοί θεσμοί και οι στάσεις διαδραματίζουν καθοριστικό ρόλο στη διαμόρφωση των εμποδίων που αντιμετωπίζουν τα άτομα με αναπηρία.</w:t>
      </w:r>
    </w:p>
    <w:p w14:paraId="67898DA7" w14:textId="77777777" w:rsidR="000F192F" w:rsidRDefault="00501409" w:rsidP="000F192F">
      <w:pPr>
        <w:jc w:val="both"/>
        <w:rPr>
          <w:rFonts w:asciiTheme="minorHAnsi" w:hAnsiTheme="minorHAnsi" w:cstheme="minorHAnsi"/>
          <w:sz w:val="22"/>
          <w:szCs w:val="22"/>
          <w:lang w:eastAsia="el-GR"/>
        </w:rPr>
      </w:pPr>
      <w:r w:rsidRPr="00F42FFC">
        <w:rPr>
          <w:rFonts w:asciiTheme="minorHAnsi" w:hAnsiTheme="minorHAnsi" w:cstheme="minorHAnsi"/>
          <w:sz w:val="22"/>
          <w:szCs w:val="22"/>
          <w:lang w:eastAsia="el-GR"/>
        </w:rPr>
        <w:t>Αν και το κοινωνικό μοντέλο αποτέλεσε σημαντικό βήμα απομάκρυνσης από το ιατρικό μοντέλο, δεν έπαψε να δέχεται κριτική. Ειδικότερα, επισημάνθηκε ότι, στην προσπάθειά του να αναδείξει την κοινωνική διάσταση της αναπηρίας, τείνει να υποτιμά τις πραγματικές, ατομικές επιπτώσεις που μπορεί να έχει η αναπηρία στην καθημερινότητα των ατόμων (</w:t>
      </w:r>
      <w:proofErr w:type="spellStart"/>
      <w:r w:rsidRPr="00F42FFC">
        <w:rPr>
          <w:rFonts w:asciiTheme="minorHAnsi" w:hAnsiTheme="minorHAnsi" w:cstheme="minorHAnsi"/>
          <w:sz w:val="22"/>
          <w:szCs w:val="22"/>
          <w:lang w:eastAsia="el-GR"/>
        </w:rPr>
        <w:t>Shakespeare</w:t>
      </w:r>
      <w:proofErr w:type="spellEnd"/>
      <w:r w:rsidRPr="00F42FFC">
        <w:rPr>
          <w:rFonts w:asciiTheme="minorHAnsi" w:hAnsiTheme="minorHAnsi" w:cstheme="minorHAnsi"/>
          <w:sz w:val="22"/>
          <w:szCs w:val="22"/>
          <w:lang w:eastAsia="el-GR"/>
        </w:rPr>
        <w:t>, 2006). Παράλληλα, η δι</w:t>
      </w:r>
      <w:r w:rsidR="002C58F0">
        <w:rPr>
          <w:rFonts w:asciiTheme="minorHAnsi" w:hAnsiTheme="minorHAnsi" w:cstheme="minorHAnsi"/>
          <w:sz w:val="22"/>
          <w:szCs w:val="22"/>
          <w:lang w:eastAsia="el-GR"/>
        </w:rPr>
        <w:t>άκριση</w:t>
      </w:r>
      <w:r w:rsidRPr="00F42FFC">
        <w:rPr>
          <w:rFonts w:asciiTheme="minorHAnsi" w:hAnsiTheme="minorHAnsi" w:cstheme="minorHAnsi"/>
          <w:sz w:val="22"/>
          <w:szCs w:val="22"/>
          <w:lang w:eastAsia="el-GR"/>
        </w:rPr>
        <w:t xml:space="preserve"> μεταξύ ιατρικού και κοινωνικού μοντέλου θεωρείται περιοριστική, καθώς δεν αποτυπώνει επαρκώς τη σύνθετη και </w:t>
      </w:r>
      <w:proofErr w:type="spellStart"/>
      <w:r w:rsidRPr="00F42FFC">
        <w:rPr>
          <w:rFonts w:asciiTheme="minorHAnsi" w:hAnsiTheme="minorHAnsi" w:cstheme="minorHAnsi"/>
          <w:sz w:val="22"/>
          <w:szCs w:val="22"/>
          <w:lang w:eastAsia="el-GR"/>
        </w:rPr>
        <w:t>πολυπαραγοντική</w:t>
      </w:r>
      <w:proofErr w:type="spellEnd"/>
      <w:r w:rsidRPr="00F42FFC">
        <w:rPr>
          <w:rFonts w:asciiTheme="minorHAnsi" w:hAnsiTheme="minorHAnsi" w:cstheme="minorHAnsi"/>
          <w:sz w:val="22"/>
          <w:szCs w:val="22"/>
          <w:lang w:eastAsia="el-GR"/>
        </w:rPr>
        <w:t xml:space="preserve"> φύση του φαινομένου.</w:t>
      </w:r>
    </w:p>
    <w:p w14:paraId="422E1907" w14:textId="700AC08B" w:rsidR="00501409" w:rsidRPr="00CD0160" w:rsidRDefault="00501409" w:rsidP="000F192F">
      <w:pPr>
        <w:ind w:firstLine="284"/>
        <w:jc w:val="both"/>
        <w:rPr>
          <w:rFonts w:asciiTheme="minorHAnsi" w:hAnsiTheme="minorHAnsi" w:cstheme="minorHAnsi"/>
          <w:sz w:val="22"/>
          <w:szCs w:val="22"/>
          <w:lang w:eastAsia="el-GR"/>
        </w:rPr>
      </w:pPr>
      <w:r w:rsidRPr="00F42FFC">
        <w:rPr>
          <w:rFonts w:asciiTheme="minorHAnsi" w:hAnsiTheme="minorHAnsi" w:cstheme="minorHAnsi"/>
          <w:sz w:val="22"/>
          <w:szCs w:val="22"/>
          <w:lang w:eastAsia="el-GR"/>
        </w:rPr>
        <w:t>Ωστόσο, η συμβολή του κοινωνικού μοντέλου παραμένει καθοριστική, καθώς επηρέασε σημαντικά τη χάραξη θεσμικών πολιτικών και στρατηγικών κοινωνικής ένταξης. Η προσέγγιση αυτή συνέβαλε στη μείωση των ανισοτήτων, στην προώθηση της συμμετοχής των ατόμων με αναπηρία και στη διαμόρφωση μιας νέας κουλτούρας κοινωνικής δικαιοσύνης και αποδοχής (</w:t>
      </w:r>
      <w:proofErr w:type="spellStart"/>
      <w:r w:rsidRPr="00F42FFC">
        <w:rPr>
          <w:rFonts w:asciiTheme="minorHAnsi" w:hAnsiTheme="minorHAnsi" w:cstheme="minorHAnsi"/>
          <w:sz w:val="22"/>
          <w:szCs w:val="22"/>
          <w:lang w:eastAsia="el-GR"/>
        </w:rPr>
        <w:t>Mitra</w:t>
      </w:r>
      <w:proofErr w:type="spellEnd"/>
      <w:r w:rsidRPr="00F42FFC">
        <w:rPr>
          <w:rFonts w:asciiTheme="minorHAnsi" w:hAnsiTheme="minorHAnsi" w:cstheme="minorHAnsi"/>
          <w:sz w:val="22"/>
          <w:szCs w:val="22"/>
          <w:lang w:eastAsia="el-GR"/>
        </w:rPr>
        <w:t xml:space="preserve">, 2006). Παρά ταύτα, αναγνωρίζεται σήμερα η ανάγκη για </w:t>
      </w:r>
      <w:r w:rsidRPr="002C58F0">
        <w:rPr>
          <w:rFonts w:asciiTheme="minorHAnsi" w:hAnsiTheme="minorHAnsi" w:cstheme="minorHAnsi"/>
          <w:bCs/>
          <w:sz w:val="22"/>
          <w:szCs w:val="22"/>
          <w:lang w:eastAsia="el-GR"/>
        </w:rPr>
        <w:t>θεωρητική διεύρυνση</w:t>
      </w:r>
      <w:r w:rsidRPr="00F42FFC">
        <w:rPr>
          <w:rFonts w:asciiTheme="minorHAnsi" w:hAnsiTheme="minorHAnsi" w:cstheme="minorHAnsi"/>
          <w:sz w:val="22"/>
          <w:szCs w:val="22"/>
          <w:lang w:eastAsia="el-GR"/>
        </w:rPr>
        <w:t xml:space="preserve"> του μοντέλου, ώστε να ενσωματώνονται και οι ατομικές διαστάσεις </w:t>
      </w:r>
      <w:r w:rsidRPr="00F42FFC">
        <w:rPr>
          <w:rFonts w:asciiTheme="minorHAnsi" w:hAnsiTheme="minorHAnsi" w:cstheme="minorHAnsi"/>
          <w:sz w:val="22"/>
          <w:szCs w:val="22"/>
          <w:lang w:eastAsia="el-GR"/>
        </w:rPr>
        <w:lastRenderedPageBreak/>
        <w:t>της αναπηρίας, επιτρέποντας μια πιο ολιστική και ισορροπημένη προσέγγιση του φαινομένου.</w:t>
      </w:r>
    </w:p>
    <w:p w14:paraId="70E1252C" w14:textId="3F8DE8F0" w:rsidR="00501409" w:rsidRPr="00ED0A98" w:rsidRDefault="00501409" w:rsidP="00CD0160">
      <w:pPr>
        <w:spacing w:before="240"/>
        <w:ind w:firstLine="284"/>
        <w:jc w:val="both"/>
        <w:outlineLvl w:val="2"/>
        <w:rPr>
          <w:rFonts w:asciiTheme="minorHAnsi" w:hAnsiTheme="minorHAnsi" w:cstheme="minorHAnsi"/>
          <w:i/>
          <w:iCs/>
          <w:sz w:val="22"/>
          <w:szCs w:val="22"/>
          <w:lang w:eastAsia="el-GR"/>
        </w:rPr>
      </w:pPr>
      <w:r w:rsidRPr="00ED0A98">
        <w:rPr>
          <w:rFonts w:asciiTheme="minorHAnsi" w:hAnsiTheme="minorHAnsi" w:cstheme="minorHAnsi"/>
          <w:i/>
          <w:iCs/>
          <w:sz w:val="22"/>
          <w:szCs w:val="22"/>
          <w:lang w:eastAsia="el-GR"/>
        </w:rPr>
        <w:t>Το Μοντέλο των Ανθρωπίνων Δικαιωμάτων της Αναπηρίας</w:t>
      </w:r>
    </w:p>
    <w:p w14:paraId="02132CBC" w14:textId="411149C2" w:rsidR="00501409" w:rsidRDefault="00501409" w:rsidP="000F192F">
      <w:pPr>
        <w:ind w:firstLine="284"/>
        <w:jc w:val="both"/>
        <w:rPr>
          <w:rFonts w:asciiTheme="minorHAnsi" w:hAnsiTheme="minorHAnsi" w:cstheme="minorHAnsi"/>
          <w:sz w:val="22"/>
          <w:szCs w:val="22"/>
          <w:lang w:eastAsia="el-GR"/>
        </w:rPr>
      </w:pPr>
      <w:r w:rsidRPr="00501409">
        <w:rPr>
          <w:rFonts w:asciiTheme="minorHAnsi" w:hAnsiTheme="minorHAnsi" w:cstheme="minorHAnsi"/>
          <w:sz w:val="22"/>
          <w:szCs w:val="22"/>
          <w:lang w:eastAsia="el-GR"/>
        </w:rPr>
        <w:t xml:space="preserve">Το </w:t>
      </w:r>
      <w:r w:rsidRPr="00501409">
        <w:rPr>
          <w:rFonts w:asciiTheme="minorHAnsi" w:hAnsiTheme="minorHAnsi" w:cstheme="minorHAnsi"/>
          <w:bCs/>
          <w:sz w:val="22"/>
          <w:szCs w:val="22"/>
          <w:lang w:eastAsia="el-GR"/>
        </w:rPr>
        <w:t>Μοντέλο των Ανθρωπίνων Δικαιωμάτων της Αναπηρίας</w:t>
      </w:r>
      <w:r w:rsidRPr="00501409">
        <w:rPr>
          <w:rFonts w:asciiTheme="minorHAnsi" w:hAnsiTheme="minorHAnsi" w:cstheme="minorHAnsi"/>
          <w:sz w:val="22"/>
          <w:szCs w:val="22"/>
          <w:lang w:eastAsia="el-GR"/>
        </w:rPr>
        <w:t xml:space="preserve"> αναδύθηκε ως εξέλιξη και διεύρυνση του κοινωνικού μοντέλου, επιχειρώντας να συνθέσει τις κοινωνικές και ατομικές διαστάσεις της αναπηρίας μέσα σε ένα ενιαίο πλαίσιο που εδράζεται στις αρχές της ισότητας, της αξιοπρέπειας και της καθολικής προστασίας των δικαιωμάτων όλων των ανθρώπων. Η προσέγγιση αυτή διαμορφώθηκε υπό την επίδραση διεθνών κινήσεων για τα ανθρώπινα δικαιώματα και βρήκε τη θεσμική της κατοχύρωση με την </w:t>
      </w:r>
      <w:r w:rsidRPr="00501409">
        <w:rPr>
          <w:rFonts w:asciiTheme="minorHAnsi" w:hAnsiTheme="minorHAnsi" w:cstheme="minorHAnsi"/>
          <w:bCs/>
          <w:sz w:val="22"/>
          <w:szCs w:val="22"/>
          <w:lang w:eastAsia="el-GR"/>
        </w:rPr>
        <w:t>Σύμβαση των Ηνωμένων Εθνών για τα Δικαιώματα των Ατόμων με Αναπηρία (CRPD, 2006)</w:t>
      </w:r>
      <w:r w:rsidRPr="00501409">
        <w:rPr>
          <w:rFonts w:asciiTheme="minorHAnsi" w:hAnsiTheme="minorHAnsi" w:cstheme="minorHAnsi"/>
          <w:sz w:val="22"/>
          <w:szCs w:val="22"/>
          <w:lang w:eastAsia="el-GR"/>
        </w:rPr>
        <w:t>, η οποία αποτέλεσε ορόσημο στη μετάβαση από τις πολιτικές πρόνοιας προς τις πολιτικές συμμετοχής.</w:t>
      </w:r>
      <w:r>
        <w:rPr>
          <w:rFonts w:asciiTheme="minorHAnsi" w:hAnsiTheme="minorHAnsi" w:cstheme="minorHAnsi"/>
          <w:sz w:val="22"/>
          <w:szCs w:val="22"/>
          <w:lang w:eastAsia="el-GR"/>
        </w:rPr>
        <w:t xml:space="preserve"> </w:t>
      </w:r>
    </w:p>
    <w:p w14:paraId="7640FE77" w14:textId="2AF97793" w:rsidR="00501409" w:rsidRPr="00501409" w:rsidRDefault="00501409" w:rsidP="00501409">
      <w:pPr>
        <w:ind w:firstLine="284"/>
        <w:jc w:val="both"/>
        <w:rPr>
          <w:rFonts w:asciiTheme="minorHAnsi" w:hAnsiTheme="minorHAnsi" w:cstheme="minorHAnsi"/>
          <w:sz w:val="22"/>
          <w:szCs w:val="22"/>
          <w:lang w:eastAsia="el-GR"/>
        </w:rPr>
      </w:pPr>
      <w:r w:rsidRPr="00501409">
        <w:rPr>
          <w:rFonts w:asciiTheme="minorHAnsi" w:hAnsiTheme="minorHAnsi" w:cstheme="minorHAnsi"/>
          <w:sz w:val="22"/>
          <w:szCs w:val="22"/>
          <w:lang w:eastAsia="el-GR"/>
        </w:rPr>
        <w:t xml:space="preserve">Σε αντίθεση με το κοινωνικό μοντέλο, το οποίο εστιάζει κυρίως στην αποδόμηση των κοινωνικών φραγμών, το μοντέλο των ανθρωπίνων δικαιωμάτων προσεγγίζει την αναπηρία ως ζήτημα </w:t>
      </w:r>
      <w:r w:rsidRPr="00501409">
        <w:rPr>
          <w:rFonts w:asciiTheme="minorHAnsi" w:hAnsiTheme="minorHAnsi" w:cstheme="minorHAnsi"/>
          <w:bCs/>
          <w:sz w:val="22"/>
          <w:szCs w:val="22"/>
          <w:lang w:eastAsia="el-GR"/>
        </w:rPr>
        <w:t>δικαιοσύνης και ισοτιμίας</w:t>
      </w:r>
      <w:r w:rsidRPr="00501409">
        <w:rPr>
          <w:rFonts w:asciiTheme="minorHAnsi" w:hAnsiTheme="minorHAnsi" w:cstheme="minorHAnsi"/>
          <w:sz w:val="22"/>
          <w:szCs w:val="22"/>
          <w:lang w:eastAsia="el-GR"/>
        </w:rPr>
        <w:t>. Υπογραμμίζει ότι όλα τα άτομα, ανεξαρτήτως σωματικής ή ψυχικής κατάστασης, έχουν ίσα δικαιώματα, ίσες ευκαιρίες και δικαίωμα στη συμμετοχή σε όλους τους τομείς της κοινωνικής ζωής (</w:t>
      </w:r>
      <w:proofErr w:type="spellStart"/>
      <w:r w:rsidRPr="00501409">
        <w:rPr>
          <w:rFonts w:asciiTheme="minorHAnsi" w:hAnsiTheme="minorHAnsi" w:cstheme="minorHAnsi"/>
          <w:sz w:val="22"/>
          <w:szCs w:val="22"/>
          <w:lang w:eastAsia="el-GR"/>
        </w:rPr>
        <w:t>Degener</w:t>
      </w:r>
      <w:proofErr w:type="spellEnd"/>
      <w:r w:rsidRPr="00501409">
        <w:rPr>
          <w:rFonts w:asciiTheme="minorHAnsi" w:hAnsiTheme="minorHAnsi" w:cstheme="minorHAnsi"/>
          <w:sz w:val="22"/>
          <w:szCs w:val="22"/>
          <w:lang w:eastAsia="el-GR"/>
        </w:rPr>
        <w:t>, 201</w:t>
      </w:r>
      <w:r w:rsidR="00D018E9" w:rsidRPr="00D018E9">
        <w:rPr>
          <w:rFonts w:asciiTheme="minorHAnsi" w:hAnsiTheme="minorHAnsi" w:cstheme="minorHAnsi"/>
          <w:sz w:val="22"/>
          <w:szCs w:val="22"/>
          <w:lang w:eastAsia="el-GR"/>
        </w:rPr>
        <w:t>6</w:t>
      </w:r>
      <w:r w:rsidRPr="00501409">
        <w:rPr>
          <w:rFonts w:asciiTheme="minorHAnsi" w:hAnsiTheme="minorHAnsi" w:cstheme="minorHAnsi"/>
          <w:sz w:val="22"/>
          <w:szCs w:val="22"/>
          <w:lang w:eastAsia="el-GR"/>
        </w:rPr>
        <w:t>). Η αναπηρία, σύμφωνα με το μοντέλο αυτό, δεν νοείται ως χαρακτηριστικό του ατόμου αλλά ως μέρος της ανθρώπινης ποικιλομορφίας, που πρέπει να αναγνωρίζεται και να προστατεύεται (</w:t>
      </w:r>
      <w:proofErr w:type="spellStart"/>
      <w:r w:rsidRPr="00501409">
        <w:rPr>
          <w:rFonts w:asciiTheme="minorHAnsi" w:hAnsiTheme="minorHAnsi" w:cstheme="minorHAnsi"/>
          <w:sz w:val="22"/>
          <w:szCs w:val="22"/>
          <w:lang w:eastAsia="el-GR"/>
        </w:rPr>
        <w:t>Kayess</w:t>
      </w:r>
      <w:proofErr w:type="spellEnd"/>
      <w:r w:rsidRPr="00501409">
        <w:rPr>
          <w:rFonts w:asciiTheme="minorHAnsi" w:hAnsiTheme="minorHAnsi" w:cstheme="minorHAnsi"/>
          <w:sz w:val="22"/>
          <w:szCs w:val="22"/>
          <w:lang w:eastAsia="el-GR"/>
        </w:rPr>
        <w:t xml:space="preserve"> &amp; </w:t>
      </w:r>
      <w:proofErr w:type="spellStart"/>
      <w:r w:rsidRPr="00501409">
        <w:rPr>
          <w:rFonts w:asciiTheme="minorHAnsi" w:hAnsiTheme="minorHAnsi" w:cstheme="minorHAnsi"/>
          <w:sz w:val="22"/>
          <w:szCs w:val="22"/>
          <w:lang w:eastAsia="el-GR"/>
        </w:rPr>
        <w:t>French</w:t>
      </w:r>
      <w:proofErr w:type="spellEnd"/>
      <w:r w:rsidRPr="00501409">
        <w:rPr>
          <w:rFonts w:asciiTheme="minorHAnsi" w:hAnsiTheme="minorHAnsi" w:cstheme="minorHAnsi"/>
          <w:sz w:val="22"/>
          <w:szCs w:val="22"/>
          <w:lang w:eastAsia="el-GR"/>
        </w:rPr>
        <w:t>, 2008).</w:t>
      </w:r>
      <w:r>
        <w:rPr>
          <w:rFonts w:asciiTheme="minorHAnsi" w:hAnsiTheme="minorHAnsi" w:cstheme="minorHAnsi"/>
          <w:sz w:val="22"/>
          <w:szCs w:val="22"/>
          <w:lang w:eastAsia="el-GR"/>
        </w:rPr>
        <w:t xml:space="preserve"> </w:t>
      </w:r>
      <w:r w:rsidRPr="00501409">
        <w:rPr>
          <w:rFonts w:asciiTheme="minorHAnsi" w:hAnsiTheme="minorHAnsi" w:cstheme="minorHAnsi"/>
          <w:sz w:val="22"/>
          <w:szCs w:val="22"/>
          <w:lang w:eastAsia="el-GR"/>
        </w:rPr>
        <w:t xml:space="preserve">Επιπλέον, τονίζει την </w:t>
      </w:r>
      <w:r w:rsidRPr="00501409">
        <w:rPr>
          <w:rFonts w:asciiTheme="minorHAnsi" w:hAnsiTheme="minorHAnsi" w:cstheme="minorHAnsi"/>
          <w:bCs/>
          <w:sz w:val="22"/>
          <w:szCs w:val="22"/>
          <w:lang w:eastAsia="el-GR"/>
        </w:rPr>
        <w:t>κρατική υποχρέωση</w:t>
      </w:r>
      <w:r w:rsidRPr="00501409">
        <w:rPr>
          <w:rFonts w:asciiTheme="minorHAnsi" w:hAnsiTheme="minorHAnsi" w:cstheme="minorHAnsi"/>
          <w:sz w:val="22"/>
          <w:szCs w:val="22"/>
          <w:lang w:eastAsia="el-GR"/>
        </w:rPr>
        <w:t xml:space="preserve"> για την εξάλειψη των διακρίσεων και την προώθηση της προσβασιμότητας, της ανεξάρτητης διαβίωσης και της συμμετοχής των ατόμων με αναπηρία σε ίσους όρους με τα υπόλοιπα μέλη της κοινωνίας. Η Σύμβαση (CRPD) ενσωματώνει την αρχή της </w:t>
      </w:r>
      <w:r w:rsidRPr="00501409">
        <w:rPr>
          <w:rFonts w:asciiTheme="minorHAnsi" w:hAnsiTheme="minorHAnsi" w:cstheme="minorHAnsi"/>
          <w:i/>
          <w:iCs/>
          <w:sz w:val="22"/>
          <w:szCs w:val="22"/>
          <w:lang w:eastAsia="el-GR"/>
        </w:rPr>
        <w:t>εύλογης προσαρμογής</w:t>
      </w:r>
      <w:r w:rsidR="002C58F0">
        <w:rPr>
          <w:rFonts w:asciiTheme="minorHAnsi" w:hAnsiTheme="minorHAnsi" w:cstheme="minorHAnsi"/>
          <w:sz w:val="22"/>
          <w:szCs w:val="22"/>
          <w:lang w:eastAsia="el-GR"/>
        </w:rPr>
        <w:t xml:space="preserve">, </w:t>
      </w:r>
      <w:r w:rsidRPr="00501409">
        <w:rPr>
          <w:rFonts w:asciiTheme="minorHAnsi" w:hAnsiTheme="minorHAnsi" w:cstheme="minorHAnsi"/>
          <w:sz w:val="22"/>
          <w:szCs w:val="22"/>
          <w:lang w:eastAsia="el-GR"/>
        </w:rPr>
        <w:t>αναγνωρίζοντας ότι η άρνηση παροχής αυτών των διευκολύνσεων συνιστά μορφή διάκρισης.</w:t>
      </w:r>
    </w:p>
    <w:p w14:paraId="30017667" w14:textId="77777777" w:rsidR="0044662E" w:rsidRDefault="00501409" w:rsidP="0044662E">
      <w:pPr>
        <w:ind w:firstLine="284"/>
        <w:jc w:val="both"/>
        <w:rPr>
          <w:rFonts w:asciiTheme="minorHAnsi" w:hAnsiTheme="minorHAnsi" w:cstheme="minorHAnsi"/>
          <w:sz w:val="22"/>
          <w:szCs w:val="22"/>
          <w:lang w:eastAsia="el-GR"/>
        </w:rPr>
      </w:pPr>
      <w:r w:rsidRPr="00501409">
        <w:rPr>
          <w:rFonts w:asciiTheme="minorHAnsi" w:hAnsiTheme="minorHAnsi" w:cstheme="minorHAnsi"/>
          <w:sz w:val="22"/>
          <w:szCs w:val="22"/>
          <w:lang w:eastAsia="el-GR"/>
        </w:rPr>
        <w:t xml:space="preserve">Το συγκεκριμένο μοντέλο επιχειρεί, επομένως, να υπερβεί τα όρια του κοινωνικού μοντέλου, ενσωματώνοντας μια πιο </w:t>
      </w:r>
      <w:r w:rsidRPr="00501409">
        <w:rPr>
          <w:rFonts w:asciiTheme="minorHAnsi" w:hAnsiTheme="minorHAnsi" w:cstheme="minorHAnsi"/>
          <w:bCs/>
          <w:sz w:val="22"/>
          <w:szCs w:val="22"/>
          <w:lang w:eastAsia="el-GR"/>
        </w:rPr>
        <w:t>ολιστική και συμμετοχική</w:t>
      </w:r>
      <w:r w:rsidRPr="00501409">
        <w:rPr>
          <w:rFonts w:asciiTheme="minorHAnsi" w:hAnsiTheme="minorHAnsi" w:cstheme="minorHAnsi"/>
          <w:sz w:val="22"/>
          <w:szCs w:val="22"/>
          <w:lang w:eastAsia="el-GR"/>
        </w:rPr>
        <w:t xml:space="preserve"> θεώρηση της αναπηρίας. Δεν αρκείται στην άρση των εμποδίων, αλλά επιδιώκει την ενεργή ενδυνάμωση των ατόμων με αναπηρία, προτάσσοντας την αυτοδιάθεση, την ισότητα ευκαιριών και την πλήρη κοινωνική ένταξη (</w:t>
      </w:r>
      <w:proofErr w:type="spellStart"/>
      <w:r w:rsidRPr="00501409">
        <w:rPr>
          <w:rFonts w:asciiTheme="minorHAnsi" w:hAnsiTheme="minorHAnsi" w:cstheme="minorHAnsi"/>
          <w:sz w:val="22"/>
          <w:szCs w:val="22"/>
          <w:lang w:eastAsia="el-GR"/>
        </w:rPr>
        <w:t>Rioux</w:t>
      </w:r>
      <w:proofErr w:type="spellEnd"/>
      <w:r w:rsidRPr="00501409">
        <w:rPr>
          <w:rFonts w:asciiTheme="minorHAnsi" w:hAnsiTheme="minorHAnsi" w:cstheme="minorHAnsi"/>
          <w:sz w:val="22"/>
          <w:szCs w:val="22"/>
          <w:lang w:eastAsia="el-GR"/>
        </w:rPr>
        <w:t xml:space="preserve"> &amp; </w:t>
      </w:r>
      <w:proofErr w:type="spellStart"/>
      <w:r w:rsidRPr="00501409">
        <w:rPr>
          <w:rFonts w:asciiTheme="minorHAnsi" w:hAnsiTheme="minorHAnsi" w:cstheme="minorHAnsi"/>
          <w:sz w:val="22"/>
          <w:szCs w:val="22"/>
          <w:lang w:eastAsia="el-GR"/>
        </w:rPr>
        <w:t>Carbert</w:t>
      </w:r>
      <w:proofErr w:type="spellEnd"/>
      <w:r w:rsidRPr="00501409">
        <w:rPr>
          <w:rFonts w:asciiTheme="minorHAnsi" w:hAnsiTheme="minorHAnsi" w:cstheme="minorHAnsi"/>
          <w:sz w:val="22"/>
          <w:szCs w:val="22"/>
          <w:lang w:eastAsia="el-GR"/>
        </w:rPr>
        <w:t>, 2003).</w:t>
      </w:r>
      <w:r>
        <w:rPr>
          <w:rFonts w:asciiTheme="minorHAnsi" w:hAnsiTheme="minorHAnsi" w:cstheme="minorHAnsi"/>
          <w:sz w:val="22"/>
          <w:szCs w:val="22"/>
          <w:lang w:eastAsia="el-GR"/>
        </w:rPr>
        <w:t xml:space="preserve"> </w:t>
      </w:r>
      <w:r w:rsidRPr="00501409">
        <w:rPr>
          <w:rFonts w:asciiTheme="minorHAnsi" w:hAnsiTheme="minorHAnsi" w:cstheme="minorHAnsi"/>
          <w:sz w:val="22"/>
          <w:szCs w:val="22"/>
          <w:lang w:eastAsia="el-GR"/>
        </w:rPr>
        <w:t xml:space="preserve">Τέλος, το μοντέλο των ανθρωπίνων δικαιωμάτων συνδέεται άμεσα με το ευρύτερο πλαίσιο της </w:t>
      </w:r>
      <w:r w:rsidRPr="00501409">
        <w:rPr>
          <w:rFonts w:asciiTheme="minorHAnsi" w:hAnsiTheme="minorHAnsi" w:cstheme="minorHAnsi"/>
          <w:bCs/>
          <w:sz w:val="22"/>
          <w:szCs w:val="22"/>
          <w:lang w:eastAsia="el-GR"/>
        </w:rPr>
        <w:t>βιώσιμης ανάπτυξης και της κοινωνικής δικαιοσύνης</w:t>
      </w:r>
      <w:r w:rsidRPr="00501409">
        <w:rPr>
          <w:rFonts w:asciiTheme="minorHAnsi" w:hAnsiTheme="minorHAnsi" w:cstheme="minorHAnsi"/>
          <w:sz w:val="22"/>
          <w:szCs w:val="22"/>
          <w:lang w:eastAsia="el-GR"/>
        </w:rPr>
        <w:t xml:space="preserve">, καθώς αναγνωρίζει ότι η </w:t>
      </w:r>
      <w:r w:rsidR="002C58F0">
        <w:rPr>
          <w:rFonts w:asciiTheme="minorHAnsi" w:hAnsiTheme="minorHAnsi" w:cstheme="minorHAnsi"/>
          <w:sz w:val="22"/>
          <w:szCs w:val="22"/>
          <w:lang w:eastAsia="el-GR"/>
        </w:rPr>
        <w:t>συμμετοχή</w:t>
      </w:r>
      <w:r w:rsidRPr="00501409">
        <w:rPr>
          <w:rFonts w:asciiTheme="minorHAnsi" w:hAnsiTheme="minorHAnsi" w:cstheme="minorHAnsi"/>
          <w:sz w:val="22"/>
          <w:szCs w:val="22"/>
          <w:lang w:eastAsia="el-GR"/>
        </w:rPr>
        <w:t xml:space="preserve"> των ατόμων με αναπηρία</w:t>
      </w:r>
      <w:r w:rsidR="002C58F0">
        <w:rPr>
          <w:rFonts w:asciiTheme="minorHAnsi" w:hAnsiTheme="minorHAnsi" w:cstheme="minorHAnsi"/>
          <w:sz w:val="22"/>
          <w:szCs w:val="22"/>
          <w:lang w:eastAsia="el-GR"/>
        </w:rPr>
        <w:t xml:space="preserve"> στο κοινωνικό γίγνεσθαι</w:t>
      </w:r>
      <w:r w:rsidRPr="00501409">
        <w:rPr>
          <w:rFonts w:asciiTheme="minorHAnsi" w:hAnsiTheme="minorHAnsi" w:cstheme="minorHAnsi"/>
          <w:sz w:val="22"/>
          <w:szCs w:val="22"/>
          <w:lang w:eastAsia="el-GR"/>
        </w:rPr>
        <w:t xml:space="preserve"> αποτελεί αναπόσπαστο στοιχείο της δημοκρατίας, της κοινωνικής συνοχής και του σεβασμού της ανθρώπινης αξιοπρέπειας.</w:t>
      </w:r>
    </w:p>
    <w:p w14:paraId="0935B56E" w14:textId="77777777" w:rsidR="0044662E" w:rsidRDefault="0044662E" w:rsidP="0044662E">
      <w:pPr>
        <w:ind w:firstLine="284"/>
        <w:jc w:val="both"/>
        <w:rPr>
          <w:rFonts w:asciiTheme="minorHAnsi" w:hAnsiTheme="minorHAnsi" w:cstheme="minorHAnsi"/>
          <w:sz w:val="22"/>
          <w:szCs w:val="22"/>
          <w:lang w:eastAsia="el-GR"/>
        </w:rPr>
      </w:pPr>
      <w:r w:rsidRPr="0044662E">
        <w:rPr>
          <w:rFonts w:asciiTheme="minorHAnsi" w:hAnsiTheme="minorHAnsi" w:cstheme="minorHAnsi"/>
          <w:sz w:val="22"/>
          <w:szCs w:val="22"/>
          <w:lang w:eastAsia="el-GR"/>
        </w:rPr>
        <w:t>Συ</w:t>
      </w:r>
      <w:r>
        <w:rPr>
          <w:rFonts w:asciiTheme="minorHAnsi" w:hAnsiTheme="minorHAnsi" w:cstheme="minorHAnsi"/>
          <w:sz w:val="22"/>
          <w:szCs w:val="22"/>
          <w:lang w:eastAsia="el-GR"/>
        </w:rPr>
        <w:t>μπερασματικά</w:t>
      </w:r>
      <w:r w:rsidRPr="0044662E">
        <w:rPr>
          <w:rFonts w:asciiTheme="minorHAnsi" w:hAnsiTheme="minorHAnsi" w:cstheme="minorHAnsi"/>
          <w:sz w:val="22"/>
          <w:szCs w:val="22"/>
          <w:lang w:eastAsia="el-GR"/>
        </w:rPr>
        <w:t>, η εξέλιξη από το ιατρικό προς το κοινωνικό και, στη συνέχεια, προς το μοντέλο των ανθρωπίνων δικαιωμάτων της αναπηρίας, αναδεικνύει την ανάγκη για βαθιές μεταρρυθμίσεις σε θεσμικό, κοινωνικό και πολιτισμικό επίπεδο. Το κοινωνικό μοντέλο εστιάζει στις κοινωνικές και περιβαλλοντικές αιτίες του αποκλεισμού, μετατοπίζοντας το ενδιαφέρον από την «αναπηρία» του ατόμου στα εμπόδια που δημιουργεί η κοινωνία. Αντίστοιχα, το μοντέλο των ανθρωπίνων δικαιωμάτων προσφέρει ένα νομικό και ηθικό πλαίσιο για την προάσπιση της ισότητας, της αξιοπρέπειας και της ουσιαστικής συμμετοχής των ατόμων με αναπηρία σε όλες τις πτυχές της ζωής.</w:t>
      </w:r>
      <w:r>
        <w:rPr>
          <w:rFonts w:asciiTheme="minorHAnsi" w:hAnsiTheme="minorHAnsi" w:cstheme="minorHAnsi"/>
          <w:sz w:val="22"/>
          <w:szCs w:val="22"/>
          <w:lang w:eastAsia="el-GR"/>
        </w:rPr>
        <w:t xml:space="preserve"> </w:t>
      </w:r>
      <w:r w:rsidRPr="0044662E">
        <w:rPr>
          <w:rFonts w:asciiTheme="minorHAnsi" w:hAnsiTheme="minorHAnsi" w:cstheme="minorHAnsi"/>
          <w:sz w:val="22"/>
          <w:szCs w:val="22"/>
          <w:lang w:eastAsia="el-GR"/>
        </w:rPr>
        <w:t xml:space="preserve">Η μετάβαση αυτή αποτέλεσε καθοριστικό βήμα για την κοινωνική </w:t>
      </w:r>
      <w:r>
        <w:rPr>
          <w:rFonts w:asciiTheme="minorHAnsi" w:hAnsiTheme="minorHAnsi" w:cstheme="minorHAnsi"/>
          <w:sz w:val="22"/>
          <w:szCs w:val="22"/>
          <w:lang w:eastAsia="el-GR"/>
        </w:rPr>
        <w:t>συμμετοχή</w:t>
      </w:r>
      <w:r w:rsidRPr="0044662E">
        <w:rPr>
          <w:rFonts w:asciiTheme="minorHAnsi" w:hAnsiTheme="minorHAnsi" w:cstheme="minorHAnsi"/>
          <w:sz w:val="22"/>
          <w:szCs w:val="22"/>
          <w:lang w:eastAsia="el-GR"/>
        </w:rPr>
        <w:t xml:space="preserve"> και την προώθηση της ανεξάρτητης διαβίωσης. Ειδικότερα στον χώρο της εκπαίδευσης, ο παραδοσιακός όρος «ειδική αγωγή» αντικαθίσταται σταδιακά από την έννοια της </w:t>
      </w:r>
      <w:r w:rsidRPr="0044662E">
        <w:rPr>
          <w:rFonts w:asciiTheme="minorHAnsi" w:hAnsiTheme="minorHAnsi" w:cstheme="minorHAnsi"/>
          <w:bCs/>
          <w:sz w:val="22"/>
          <w:szCs w:val="22"/>
          <w:lang w:eastAsia="el-GR"/>
        </w:rPr>
        <w:t>συμπεριληπτικής εκπαίδευσης</w:t>
      </w:r>
      <w:r w:rsidRPr="0044662E">
        <w:rPr>
          <w:rFonts w:asciiTheme="minorHAnsi" w:hAnsiTheme="minorHAnsi" w:cstheme="minorHAnsi"/>
          <w:sz w:val="22"/>
          <w:szCs w:val="22"/>
          <w:lang w:eastAsia="el-GR"/>
        </w:rPr>
        <w:t xml:space="preserve"> και του </w:t>
      </w:r>
      <w:r w:rsidRPr="0044662E">
        <w:rPr>
          <w:rFonts w:asciiTheme="minorHAnsi" w:hAnsiTheme="minorHAnsi" w:cstheme="minorHAnsi"/>
          <w:bCs/>
          <w:sz w:val="22"/>
          <w:szCs w:val="22"/>
          <w:lang w:eastAsia="el-GR"/>
        </w:rPr>
        <w:t>καθολικού σχεδιασμού για όλους</w:t>
      </w:r>
      <w:r w:rsidRPr="0044662E">
        <w:rPr>
          <w:rFonts w:asciiTheme="minorHAnsi" w:hAnsiTheme="minorHAnsi" w:cstheme="minorHAnsi"/>
          <w:sz w:val="22"/>
          <w:szCs w:val="22"/>
          <w:lang w:eastAsia="el-GR"/>
        </w:rPr>
        <w:t>, που απευθύνεται σε κάθε μαθητή, ανεξαρτήτως ικανοτήτων. Η εκπαίδευση, επομένως, λειτουργεί ως θεμέλιο για την κοινωνική συμμετοχή και την ισότιμη πρόσβαση όλων στις ευκαιρίες της ζωής.</w:t>
      </w:r>
    </w:p>
    <w:p w14:paraId="34425B27" w14:textId="77777777" w:rsidR="0044662E" w:rsidRDefault="0044662E" w:rsidP="0044662E">
      <w:pPr>
        <w:ind w:firstLine="284"/>
        <w:jc w:val="both"/>
        <w:rPr>
          <w:rFonts w:asciiTheme="minorHAnsi" w:hAnsiTheme="minorHAnsi" w:cstheme="minorHAnsi"/>
          <w:sz w:val="22"/>
          <w:szCs w:val="22"/>
          <w:lang w:eastAsia="el-GR"/>
        </w:rPr>
      </w:pPr>
      <w:r w:rsidRPr="0044662E">
        <w:rPr>
          <w:rFonts w:asciiTheme="minorHAnsi" w:hAnsiTheme="minorHAnsi" w:cstheme="minorHAnsi"/>
          <w:sz w:val="22"/>
          <w:szCs w:val="22"/>
          <w:lang w:eastAsia="el-GR"/>
        </w:rPr>
        <w:t xml:space="preserve">Αντίστοιχα, στον τομέα της απασχόλησης παρατηρείται μετατόπιση από την αντίληψη του αποκλεισμού λόγω «ανεπαρκών ικανοτήτων» προς την αναγνώριση της υποχρέωσης της κοινωνίας να εξασφαλίζει </w:t>
      </w:r>
      <w:proofErr w:type="spellStart"/>
      <w:r w:rsidRPr="0044662E">
        <w:rPr>
          <w:rFonts w:asciiTheme="minorHAnsi" w:hAnsiTheme="minorHAnsi" w:cstheme="minorHAnsi"/>
          <w:bCs/>
          <w:sz w:val="22"/>
          <w:szCs w:val="22"/>
          <w:lang w:eastAsia="el-GR"/>
        </w:rPr>
        <w:t>προσβάσιμους</w:t>
      </w:r>
      <w:proofErr w:type="spellEnd"/>
      <w:r w:rsidRPr="0044662E">
        <w:rPr>
          <w:rFonts w:asciiTheme="minorHAnsi" w:hAnsiTheme="minorHAnsi" w:cstheme="minorHAnsi"/>
          <w:bCs/>
          <w:sz w:val="22"/>
          <w:szCs w:val="22"/>
          <w:lang w:eastAsia="el-GR"/>
        </w:rPr>
        <w:t xml:space="preserve"> χώρους</w:t>
      </w:r>
      <w:r w:rsidRPr="0044662E">
        <w:rPr>
          <w:rFonts w:asciiTheme="minorHAnsi" w:hAnsiTheme="minorHAnsi" w:cstheme="minorHAnsi"/>
          <w:sz w:val="22"/>
          <w:szCs w:val="22"/>
          <w:lang w:eastAsia="el-GR"/>
        </w:rPr>
        <w:t xml:space="preserve">, </w:t>
      </w:r>
      <w:r w:rsidRPr="0044662E">
        <w:rPr>
          <w:rFonts w:asciiTheme="minorHAnsi" w:hAnsiTheme="minorHAnsi" w:cstheme="minorHAnsi"/>
          <w:bCs/>
          <w:sz w:val="22"/>
          <w:szCs w:val="22"/>
          <w:lang w:eastAsia="el-GR"/>
        </w:rPr>
        <w:t>εύλογες προσαρμογές</w:t>
      </w:r>
      <w:r w:rsidRPr="0044662E">
        <w:rPr>
          <w:rFonts w:asciiTheme="minorHAnsi" w:hAnsiTheme="minorHAnsi" w:cstheme="minorHAnsi"/>
          <w:sz w:val="22"/>
          <w:szCs w:val="22"/>
          <w:lang w:eastAsia="el-GR"/>
        </w:rPr>
        <w:t xml:space="preserve"> στα καθήκοντα και στα ωράρια, καθώς και </w:t>
      </w:r>
      <w:r w:rsidRPr="0044662E">
        <w:rPr>
          <w:rFonts w:asciiTheme="minorHAnsi" w:hAnsiTheme="minorHAnsi" w:cstheme="minorHAnsi"/>
          <w:bCs/>
          <w:sz w:val="22"/>
          <w:szCs w:val="22"/>
          <w:lang w:eastAsia="el-GR"/>
        </w:rPr>
        <w:t>προγράμματα συμβουλευτικής και εποπτείας</w:t>
      </w:r>
      <w:r w:rsidRPr="0044662E">
        <w:rPr>
          <w:rFonts w:asciiTheme="minorHAnsi" w:hAnsiTheme="minorHAnsi" w:cstheme="minorHAnsi"/>
          <w:sz w:val="22"/>
          <w:szCs w:val="22"/>
          <w:lang w:eastAsia="el-GR"/>
        </w:rPr>
        <w:t xml:space="preserve"> στον χώρο εργασίας. Στόχος δεν είναι μόνο η κοινωνική </w:t>
      </w:r>
      <w:r>
        <w:rPr>
          <w:rFonts w:asciiTheme="minorHAnsi" w:hAnsiTheme="minorHAnsi" w:cstheme="minorHAnsi"/>
          <w:sz w:val="22"/>
          <w:szCs w:val="22"/>
          <w:lang w:eastAsia="el-GR"/>
        </w:rPr>
        <w:t>συμμετοχή</w:t>
      </w:r>
      <w:r w:rsidRPr="0044662E">
        <w:rPr>
          <w:rFonts w:asciiTheme="minorHAnsi" w:hAnsiTheme="minorHAnsi" w:cstheme="minorHAnsi"/>
          <w:sz w:val="22"/>
          <w:szCs w:val="22"/>
          <w:lang w:eastAsia="el-GR"/>
        </w:rPr>
        <w:t xml:space="preserve">, αλλά και η </w:t>
      </w:r>
      <w:r w:rsidRPr="0044662E">
        <w:rPr>
          <w:rFonts w:asciiTheme="minorHAnsi" w:hAnsiTheme="minorHAnsi" w:cstheme="minorHAnsi"/>
          <w:bCs/>
          <w:sz w:val="22"/>
          <w:szCs w:val="22"/>
          <w:lang w:eastAsia="el-GR"/>
        </w:rPr>
        <w:t>οικονομική αυτονομία</w:t>
      </w:r>
      <w:r w:rsidRPr="0044662E">
        <w:rPr>
          <w:rFonts w:asciiTheme="minorHAnsi" w:hAnsiTheme="minorHAnsi" w:cstheme="minorHAnsi"/>
          <w:sz w:val="22"/>
          <w:szCs w:val="22"/>
          <w:lang w:eastAsia="el-GR"/>
        </w:rPr>
        <w:t xml:space="preserve"> και ο </w:t>
      </w:r>
      <w:r w:rsidRPr="0044662E">
        <w:rPr>
          <w:rFonts w:asciiTheme="minorHAnsi" w:hAnsiTheme="minorHAnsi" w:cstheme="minorHAnsi"/>
          <w:bCs/>
          <w:sz w:val="22"/>
          <w:szCs w:val="22"/>
          <w:lang w:eastAsia="el-GR"/>
        </w:rPr>
        <w:lastRenderedPageBreak/>
        <w:t>προσωπικός έλεγχος</w:t>
      </w:r>
      <w:r w:rsidRPr="0044662E">
        <w:rPr>
          <w:rFonts w:asciiTheme="minorHAnsi" w:hAnsiTheme="minorHAnsi" w:cstheme="minorHAnsi"/>
          <w:sz w:val="22"/>
          <w:szCs w:val="22"/>
          <w:lang w:eastAsia="el-GR"/>
        </w:rPr>
        <w:t>, βασικά στοιχεία της ανεξάρτητης διαβίωσης.</w:t>
      </w:r>
      <w:r>
        <w:rPr>
          <w:rFonts w:asciiTheme="minorHAnsi" w:hAnsiTheme="minorHAnsi" w:cstheme="minorHAnsi"/>
          <w:sz w:val="22"/>
          <w:szCs w:val="22"/>
          <w:lang w:eastAsia="el-GR"/>
        </w:rPr>
        <w:t xml:space="preserve"> </w:t>
      </w:r>
      <w:r w:rsidRPr="0044662E">
        <w:rPr>
          <w:rFonts w:asciiTheme="minorHAnsi" w:hAnsiTheme="minorHAnsi" w:cstheme="minorHAnsi"/>
          <w:sz w:val="22"/>
          <w:szCs w:val="22"/>
          <w:lang w:eastAsia="el-GR"/>
        </w:rPr>
        <w:t>Στο πλαίσιο αυτό, οι φορείς χάραξης πολιτικής αρχίζουν να αντιλαμβάνονται την ανάγκη για έναν συνολικό μετασχηματισμό της κοινωνίας, με σκοπό να μην αποκλείε</w:t>
      </w:r>
      <w:r>
        <w:rPr>
          <w:rFonts w:asciiTheme="minorHAnsi" w:hAnsiTheme="minorHAnsi" w:cstheme="minorHAnsi"/>
          <w:sz w:val="22"/>
          <w:szCs w:val="22"/>
          <w:lang w:eastAsia="el-GR"/>
        </w:rPr>
        <w:t>ι</w:t>
      </w:r>
      <w:r w:rsidRPr="0044662E">
        <w:rPr>
          <w:rFonts w:asciiTheme="minorHAnsi" w:hAnsiTheme="minorHAnsi" w:cstheme="minorHAnsi"/>
          <w:sz w:val="22"/>
          <w:szCs w:val="22"/>
          <w:lang w:eastAsia="el-GR"/>
        </w:rPr>
        <w:t xml:space="preserve"> κανένα άτομο, καθώς η </w:t>
      </w:r>
      <w:r w:rsidRPr="0044662E">
        <w:rPr>
          <w:rFonts w:asciiTheme="minorHAnsi" w:hAnsiTheme="minorHAnsi" w:cstheme="minorHAnsi"/>
          <w:bCs/>
          <w:sz w:val="22"/>
          <w:szCs w:val="22"/>
          <w:lang w:eastAsia="el-GR"/>
        </w:rPr>
        <w:t>συμμετοχή</w:t>
      </w:r>
      <w:r w:rsidRPr="0044662E">
        <w:rPr>
          <w:rFonts w:asciiTheme="minorHAnsi" w:hAnsiTheme="minorHAnsi" w:cstheme="minorHAnsi"/>
          <w:sz w:val="22"/>
          <w:szCs w:val="22"/>
          <w:lang w:eastAsia="el-GR"/>
        </w:rPr>
        <w:t xml:space="preserve"> συνιστά θεμελιώδες </w:t>
      </w:r>
      <w:r w:rsidRPr="0044662E">
        <w:rPr>
          <w:rFonts w:asciiTheme="minorHAnsi" w:hAnsiTheme="minorHAnsi" w:cstheme="minorHAnsi"/>
          <w:bCs/>
          <w:sz w:val="22"/>
          <w:szCs w:val="22"/>
          <w:lang w:eastAsia="el-GR"/>
        </w:rPr>
        <w:t>δικαίωμα</w:t>
      </w:r>
      <w:r w:rsidRPr="0044662E">
        <w:rPr>
          <w:rFonts w:asciiTheme="minorHAnsi" w:hAnsiTheme="minorHAnsi" w:cstheme="minorHAnsi"/>
          <w:sz w:val="22"/>
          <w:szCs w:val="22"/>
          <w:lang w:eastAsia="el-GR"/>
        </w:rPr>
        <w:t xml:space="preserve">. Παράλληλα, η </w:t>
      </w:r>
      <w:r w:rsidRPr="0044662E">
        <w:rPr>
          <w:rFonts w:asciiTheme="minorHAnsi" w:hAnsiTheme="minorHAnsi" w:cstheme="minorHAnsi"/>
          <w:bCs/>
          <w:sz w:val="22"/>
          <w:szCs w:val="22"/>
          <w:lang w:eastAsia="el-GR"/>
        </w:rPr>
        <w:t>αυτοδιάθεση</w:t>
      </w:r>
      <w:r w:rsidRPr="0044662E">
        <w:rPr>
          <w:rFonts w:asciiTheme="minorHAnsi" w:hAnsiTheme="minorHAnsi" w:cstheme="minorHAnsi"/>
          <w:sz w:val="22"/>
          <w:szCs w:val="22"/>
          <w:lang w:eastAsia="el-GR"/>
        </w:rPr>
        <w:t xml:space="preserve"> των ατόμων με αναπηρία, υποστηριζόμενη από την τεχνολογία και την επιστημονική εξειδίκευση, ενδυναμώνει την ικανότητά τους να διαμορφώνουν ενεργά την καθημερινότητά τους και να συμμετέχουν ισότιμα στο κοινωνικό γίγνεσθαι.</w:t>
      </w:r>
    </w:p>
    <w:p w14:paraId="042550FE" w14:textId="77777777" w:rsidR="0044662E" w:rsidRDefault="0044662E" w:rsidP="0044662E">
      <w:pPr>
        <w:ind w:firstLine="284"/>
        <w:jc w:val="both"/>
        <w:rPr>
          <w:rFonts w:asciiTheme="minorHAnsi" w:hAnsiTheme="minorHAnsi" w:cstheme="minorHAnsi"/>
          <w:sz w:val="22"/>
          <w:szCs w:val="22"/>
          <w:lang w:eastAsia="el-GR"/>
        </w:rPr>
      </w:pPr>
      <w:r w:rsidRPr="0044662E">
        <w:rPr>
          <w:rFonts w:asciiTheme="minorHAnsi" w:hAnsiTheme="minorHAnsi" w:cstheme="minorHAnsi"/>
          <w:sz w:val="22"/>
          <w:szCs w:val="22"/>
          <w:lang w:eastAsia="el-GR"/>
        </w:rPr>
        <w:t xml:space="preserve">Με γνώμονα τις αρχές του μοντέλου των ανθρωπίνων δικαιωμάτων, κρίθηκε σκόπιμη η διερεύνηση των στάσεων του γενικού πληθυσμού στην Ελλάδα σχετικά με την αντιμετώπιση των ατόμων με αναπηρία. Στόχος της διερεύνησης αυτής είναι η ανίχνευση των παραγόντων που ενδέχεται να επηρεάζουν την κοινωνική τους </w:t>
      </w:r>
      <w:r>
        <w:rPr>
          <w:rFonts w:asciiTheme="minorHAnsi" w:hAnsiTheme="minorHAnsi" w:cstheme="minorHAnsi"/>
          <w:sz w:val="22"/>
          <w:szCs w:val="22"/>
          <w:lang w:eastAsia="el-GR"/>
        </w:rPr>
        <w:t>συμμετοχή</w:t>
      </w:r>
      <w:r w:rsidRPr="0044662E">
        <w:rPr>
          <w:rFonts w:asciiTheme="minorHAnsi" w:hAnsiTheme="minorHAnsi" w:cstheme="minorHAnsi"/>
          <w:sz w:val="22"/>
          <w:szCs w:val="22"/>
          <w:lang w:eastAsia="el-GR"/>
        </w:rPr>
        <w:t xml:space="preserve">. Με βάση την ανασκόπηση της σχετικής βιβλιογραφίας διαμορφώθηκαν προτάσεις σχετικά με τις αντιλήψεις του πληθυσμού ως προς την καθημερινότητα των ατόμων με αναπηρία, οι οποίες αποτέλεσαν τη βάση για τη δημιουργία </w:t>
      </w:r>
      <w:r>
        <w:rPr>
          <w:rFonts w:asciiTheme="minorHAnsi" w:hAnsiTheme="minorHAnsi" w:cstheme="minorHAnsi"/>
          <w:sz w:val="22"/>
          <w:szCs w:val="22"/>
          <w:lang w:eastAsia="el-GR"/>
        </w:rPr>
        <w:t xml:space="preserve">ενός </w:t>
      </w:r>
      <w:r w:rsidRPr="0044662E">
        <w:rPr>
          <w:rFonts w:asciiTheme="minorHAnsi" w:hAnsiTheme="minorHAnsi" w:cstheme="minorHAnsi"/>
          <w:sz w:val="22"/>
          <w:szCs w:val="22"/>
          <w:lang w:eastAsia="el-GR"/>
        </w:rPr>
        <w:t xml:space="preserve">ερευνητικού εργαλείου, το οποίο στη συνέχεια αξιολογήθηκε ως προς την </w:t>
      </w:r>
      <w:r w:rsidRPr="0044662E">
        <w:rPr>
          <w:rFonts w:asciiTheme="minorHAnsi" w:hAnsiTheme="minorHAnsi" w:cstheme="minorHAnsi"/>
          <w:bCs/>
          <w:sz w:val="22"/>
          <w:szCs w:val="22"/>
          <w:lang w:eastAsia="el-GR"/>
        </w:rPr>
        <w:t>εγκυρότητα</w:t>
      </w:r>
      <w:r w:rsidRPr="0044662E">
        <w:rPr>
          <w:rFonts w:asciiTheme="minorHAnsi" w:hAnsiTheme="minorHAnsi" w:cstheme="minorHAnsi"/>
          <w:sz w:val="22"/>
          <w:szCs w:val="22"/>
          <w:lang w:eastAsia="el-GR"/>
        </w:rPr>
        <w:t xml:space="preserve"> και </w:t>
      </w:r>
      <w:r w:rsidRPr="0044662E">
        <w:rPr>
          <w:rFonts w:asciiTheme="minorHAnsi" w:hAnsiTheme="minorHAnsi" w:cstheme="minorHAnsi"/>
          <w:bCs/>
          <w:sz w:val="22"/>
          <w:szCs w:val="22"/>
          <w:lang w:eastAsia="el-GR"/>
        </w:rPr>
        <w:t>αξιοπιστία</w:t>
      </w:r>
      <w:r w:rsidRPr="0044662E">
        <w:rPr>
          <w:rFonts w:asciiTheme="minorHAnsi" w:hAnsiTheme="minorHAnsi" w:cstheme="minorHAnsi"/>
          <w:sz w:val="22"/>
          <w:szCs w:val="22"/>
          <w:lang w:eastAsia="el-GR"/>
        </w:rPr>
        <w:t xml:space="preserve"> του.</w:t>
      </w:r>
    </w:p>
    <w:p w14:paraId="04954644" w14:textId="322E1614" w:rsidR="00CB2A64" w:rsidRDefault="000D55E1" w:rsidP="000D55E1">
      <w:pPr>
        <w:pStyle w:val="af9"/>
        <w:spacing w:before="240"/>
        <w:ind w:firstLine="284"/>
        <w:jc w:val="both"/>
        <w:rPr>
          <w:rFonts w:asciiTheme="minorHAnsi" w:hAnsiTheme="minorHAnsi" w:cstheme="minorHAnsi"/>
          <w:color w:val="FF0000"/>
          <w:sz w:val="22"/>
          <w:szCs w:val="22"/>
          <w:lang w:eastAsia="el-GR"/>
        </w:rPr>
      </w:pPr>
      <w:r w:rsidRPr="000D55E1">
        <w:rPr>
          <w:rFonts w:asciiTheme="minorHAnsi" w:hAnsiTheme="minorHAnsi" w:cstheme="minorHAnsi"/>
          <w:i/>
          <w:iCs/>
          <w:color w:val="FF0000"/>
          <w:sz w:val="22"/>
          <w:szCs w:val="22"/>
        </w:rPr>
        <w:t>Σκοπός</w:t>
      </w:r>
      <w:r w:rsidR="00CB2A64">
        <w:rPr>
          <w:rFonts w:asciiTheme="minorHAnsi" w:hAnsiTheme="minorHAnsi" w:cstheme="minorHAnsi"/>
          <w:i/>
          <w:iCs/>
          <w:color w:val="FF0000"/>
          <w:sz w:val="22"/>
          <w:szCs w:val="22"/>
        </w:rPr>
        <w:t>:</w:t>
      </w:r>
      <w:r w:rsidRPr="000D55E1">
        <w:rPr>
          <w:rFonts w:asciiTheme="minorHAnsi" w:hAnsiTheme="minorHAnsi" w:cstheme="minorHAnsi"/>
          <w:color w:val="FF0000"/>
          <w:sz w:val="22"/>
          <w:szCs w:val="22"/>
        </w:rPr>
        <w:t xml:space="preserve"> </w:t>
      </w:r>
      <w:r w:rsidR="00CB2A64">
        <w:rPr>
          <w:rFonts w:asciiTheme="minorHAnsi" w:hAnsiTheme="minorHAnsi" w:cstheme="minorHAnsi"/>
          <w:color w:val="FF0000"/>
          <w:sz w:val="22"/>
          <w:szCs w:val="22"/>
        </w:rPr>
        <w:t xml:space="preserve">Σκοπός </w:t>
      </w:r>
      <w:r w:rsidRPr="000D55E1">
        <w:rPr>
          <w:rFonts w:asciiTheme="minorHAnsi" w:hAnsiTheme="minorHAnsi" w:cstheme="minorHAnsi"/>
          <w:color w:val="FF0000"/>
          <w:sz w:val="22"/>
          <w:szCs w:val="22"/>
        </w:rPr>
        <w:t>λοιπόν, της παρούσας εργασία είναι η κατασκευή ενός ερευνητικού εργαλείου που διερευνά τις στάσεις του γενικού πληθυσμού ως προς το δικαίωμα των ατόμων με αναπηρία να συμμετέχουν χωρίς εμπόδια σε όλες τις εκφάνσεις της κοινωνικής ζωής, όπως εξάλλου ορίζεται από την διακήρυξη των ανθρωπίνων δικαιωμάτων για τα άτομα με αναπηρία.</w:t>
      </w:r>
      <w:r w:rsidR="00CE46EA" w:rsidRPr="000D55E1">
        <w:rPr>
          <w:rFonts w:asciiTheme="minorHAnsi" w:hAnsiTheme="minorHAnsi" w:cstheme="minorHAnsi"/>
          <w:color w:val="FF0000"/>
          <w:sz w:val="22"/>
          <w:szCs w:val="22"/>
        </w:rPr>
        <w:t xml:space="preserve"> </w:t>
      </w:r>
      <w:r w:rsidR="00CE46EA">
        <w:rPr>
          <w:rFonts w:asciiTheme="minorHAnsi" w:hAnsiTheme="minorHAnsi" w:cstheme="minorHAnsi"/>
          <w:color w:val="FF0000"/>
          <w:sz w:val="22"/>
          <w:szCs w:val="22"/>
        </w:rPr>
        <w:t xml:space="preserve">Επιπλέον, </w:t>
      </w:r>
      <w:r w:rsidR="00CE46EA">
        <w:rPr>
          <w:rFonts w:asciiTheme="minorHAnsi" w:hAnsiTheme="minorHAnsi" w:cstheme="minorHAnsi"/>
          <w:color w:val="FF0000"/>
          <w:sz w:val="22"/>
          <w:szCs w:val="22"/>
          <w:lang w:eastAsia="el-GR"/>
        </w:rPr>
        <w:t>ο προσδιορισμός των στάσεων του γενικού πληθυσμού ως προς την κοινωνική ένταξη των ατόμων με αναπηρία κρίνεται καθοριστικής σημασίας καθώς σύμφωνα με ερευνητικά δεδομένα (</w:t>
      </w:r>
      <w:r w:rsidR="00CE46EA">
        <w:rPr>
          <w:rFonts w:asciiTheme="minorHAnsi" w:hAnsiTheme="minorHAnsi" w:cstheme="minorHAnsi"/>
          <w:color w:val="FF0000"/>
          <w:sz w:val="22"/>
          <w:szCs w:val="22"/>
          <w:lang w:val="en-US" w:eastAsia="el-GR"/>
        </w:rPr>
        <w:t>Tan</w:t>
      </w:r>
      <w:r w:rsidR="00CE46EA" w:rsidRPr="00DB5DA1">
        <w:rPr>
          <w:rFonts w:asciiTheme="minorHAnsi" w:hAnsiTheme="minorHAnsi" w:cstheme="minorHAnsi"/>
          <w:color w:val="FF0000"/>
          <w:sz w:val="22"/>
          <w:szCs w:val="22"/>
          <w:lang w:eastAsia="el-GR"/>
        </w:rPr>
        <w:t xml:space="preserve"> </w:t>
      </w:r>
      <w:r w:rsidR="00CE46EA">
        <w:rPr>
          <w:rFonts w:asciiTheme="minorHAnsi" w:hAnsiTheme="minorHAnsi" w:cstheme="minorHAnsi"/>
          <w:color w:val="FF0000"/>
          <w:sz w:val="22"/>
          <w:szCs w:val="22"/>
          <w:lang w:val="en-US" w:eastAsia="el-GR"/>
        </w:rPr>
        <w:t>et</w:t>
      </w:r>
      <w:r w:rsidR="00CE46EA" w:rsidRPr="00DB5DA1">
        <w:rPr>
          <w:rFonts w:asciiTheme="minorHAnsi" w:hAnsiTheme="minorHAnsi" w:cstheme="minorHAnsi"/>
          <w:color w:val="FF0000"/>
          <w:sz w:val="22"/>
          <w:szCs w:val="22"/>
          <w:lang w:eastAsia="el-GR"/>
        </w:rPr>
        <w:t xml:space="preserve"> </w:t>
      </w:r>
      <w:r w:rsidR="00CE46EA">
        <w:rPr>
          <w:rFonts w:asciiTheme="minorHAnsi" w:hAnsiTheme="minorHAnsi" w:cstheme="minorHAnsi"/>
          <w:color w:val="FF0000"/>
          <w:sz w:val="22"/>
          <w:szCs w:val="22"/>
          <w:lang w:val="en-US" w:eastAsia="el-GR"/>
        </w:rPr>
        <w:t>al</w:t>
      </w:r>
      <w:r w:rsidR="00CE46EA" w:rsidRPr="00DB5DA1">
        <w:rPr>
          <w:rFonts w:asciiTheme="minorHAnsi" w:hAnsiTheme="minorHAnsi" w:cstheme="minorHAnsi"/>
          <w:color w:val="FF0000"/>
          <w:sz w:val="22"/>
          <w:szCs w:val="22"/>
          <w:lang w:eastAsia="el-GR"/>
        </w:rPr>
        <w:t xml:space="preserve">., 2019; </w:t>
      </w:r>
      <w:proofErr w:type="spellStart"/>
      <w:r w:rsidR="00CE46EA">
        <w:rPr>
          <w:rFonts w:asciiTheme="minorHAnsi" w:hAnsiTheme="minorHAnsi" w:cstheme="minorHAnsi"/>
          <w:color w:val="FF0000"/>
          <w:sz w:val="22"/>
          <w:szCs w:val="22"/>
          <w:lang w:val="en-US" w:eastAsia="el-GR"/>
        </w:rPr>
        <w:t>Giuntoli</w:t>
      </w:r>
      <w:proofErr w:type="spellEnd"/>
      <w:r w:rsidR="00CE46EA" w:rsidRPr="00DB5DA1">
        <w:rPr>
          <w:rFonts w:asciiTheme="minorHAnsi" w:hAnsiTheme="minorHAnsi" w:cstheme="minorHAnsi"/>
          <w:color w:val="FF0000"/>
          <w:sz w:val="22"/>
          <w:szCs w:val="22"/>
          <w:lang w:eastAsia="el-GR"/>
        </w:rPr>
        <w:t xml:space="preserve">, </w:t>
      </w:r>
      <w:r w:rsidR="00CE46EA">
        <w:rPr>
          <w:rFonts w:asciiTheme="minorHAnsi" w:hAnsiTheme="minorHAnsi" w:cstheme="minorHAnsi"/>
          <w:color w:val="FF0000"/>
          <w:sz w:val="22"/>
          <w:szCs w:val="22"/>
          <w:lang w:val="en-US" w:eastAsia="el-GR"/>
        </w:rPr>
        <w:t>et</w:t>
      </w:r>
      <w:r w:rsidR="00CE46EA" w:rsidRPr="00DB5DA1">
        <w:rPr>
          <w:rFonts w:asciiTheme="minorHAnsi" w:hAnsiTheme="minorHAnsi" w:cstheme="minorHAnsi"/>
          <w:color w:val="FF0000"/>
          <w:sz w:val="22"/>
          <w:szCs w:val="22"/>
          <w:lang w:eastAsia="el-GR"/>
        </w:rPr>
        <w:t xml:space="preserve"> </w:t>
      </w:r>
      <w:r w:rsidR="00CE46EA">
        <w:rPr>
          <w:rFonts w:asciiTheme="minorHAnsi" w:hAnsiTheme="minorHAnsi" w:cstheme="minorHAnsi"/>
          <w:color w:val="FF0000"/>
          <w:sz w:val="22"/>
          <w:szCs w:val="22"/>
          <w:lang w:val="en-US" w:eastAsia="el-GR"/>
        </w:rPr>
        <w:t>al</w:t>
      </w:r>
      <w:r w:rsidR="00CE46EA" w:rsidRPr="00DB5DA1">
        <w:rPr>
          <w:rFonts w:asciiTheme="minorHAnsi" w:hAnsiTheme="minorHAnsi" w:cstheme="minorHAnsi"/>
          <w:color w:val="FF0000"/>
          <w:sz w:val="22"/>
          <w:szCs w:val="22"/>
          <w:lang w:eastAsia="el-GR"/>
        </w:rPr>
        <w:t xml:space="preserve">., 2024) </w:t>
      </w:r>
      <w:r w:rsidR="00CE46EA">
        <w:rPr>
          <w:rFonts w:asciiTheme="minorHAnsi" w:hAnsiTheme="minorHAnsi" w:cstheme="minorHAnsi"/>
          <w:color w:val="FF0000"/>
          <w:sz w:val="22"/>
          <w:szCs w:val="22"/>
          <w:lang w:eastAsia="el-GR"/>
        </w:rPr>
        <w:t>αποτελούν σημαντικό εμπόδιο για την κοινωνική συμμετοχή των ατόμων με αναπηρία</w:t>
      </w:r>
      <w:r w:rsidR="00CE46EA" w:rsidRPr="000D55E1">
        <w:rPr>
          <w:rFonts w:asciiTheme="minorHAnsi" w:hAnsiTheme="minorHAnsi" w:cstheme="minorHAnsi"/>
          <w:color w:val="FF0000"/>
          <w:sz w:val="22"/>
          <w:szCs w:val="22"/>
          <w:lang w:eastAsia="el-GR"/>
        </w:rPr>
        <w:t>.</w:t>
      </w:r>
      <w:r w:rsidR="005D63A7" w:rsidRPr="000D55E1">
        <w:rPr>
          <w:rFonts w:asciiTheme="minorHAnsi" w:hAnsiTheme="minorHAnsi" w:cstheme="minorHAnsi"/>
          <w:color w:val="FF0000"/>
          <w:sz w:val="22"/>
          <w:szCs w:val="22"/>
          <w:lang w:eastAsia="el-GR"/>
        </w:rPr>
        <w:t xml:space="preserve"> </w:t>
      </w:r>
    </w:p>
    <w:p w14:paraId="0A7F950F" w14:textId="35CAAF1A" w:rsidR="000D55E1" w:rsidRPr="000D55E1" w:rsidRDefault="00CB2A64" w:rsidP="000D55E1">
      <w:pPr>
        <w:pStyle w:val="af9"/>
        <w:spacing w:before="240"/>
        <w:ind w:firstLine="284"/>
        <w:jc w:val="both"/>
        <w:rPr>
          <w:rFonts w:asciiTheme="minorHAnsi" w:hAnsiTheme="minorHAnsi" w:cstheme="minorHAnsi"/>
          <w:color w:val="FF0000"/>
          <w:sz w:val="22"/>
          <w:szCs w:val="22"/>
        </w:rPr>
      </w:pPr>
      <w:r w:rsidRPr="00CB2A64">
        <w:rPr>
          <w:rFonts w:asciiTheme="minorHAnsi" w:hAnsiTheme="minorHAnsi" w:cstheme="minorHAnsi"/>
          <w:i/>
          <w:iCs/>
          <w:color w:val="FF0000"/>
          <w:sz w:val="22"/>
          <w:szCs w:val="22"/>
          <w:lang w:eastAsia="el-GR"/>
        </w:rPr>
        <w:t>Ερευνητικό ερώτημα:</w:t>
      </w:r>
      <w:r>
        <w:rPr>
          <w:rFonts w:asciiTheme="minorHAnsi" w:hAnsiTheme="minorHAnsi" w:cstheme="minorHAnsi"/>
          <w:color w:val="FF0000"/>
          <w:sz w:val="22"/>
          <w:szCs w:val="22"/>
          <w:lang w:eastAsia="el-GR"/>
        </w:rPr>
        <w:t xml:space="preserve"> </w:t>
      </w:r>
      <w:r w:rsidR="000D55E1" w:rsidRPr="000D55E1">
        <w:rPr>
          <w:rFonts w:asciiTheme="minorHAnsi" w:hAnsiTheme="minorHAnsi" w:cstheme="minorHAnsi"/>
          <w:color w:val="FF0000"/>
          <w:sz w:val="22"/>
          <w:szCs w:val="22"/>
        </w:rPr>
        <w:t>Το βασικό ερευνητικό ερώτημα που απασχόλησε την παρούσα μελέτη είναι το εξής: Ποιοι παράγοντες ερμηνεύουν τη συμπεριφορά του γενικού πληθυσμού ως προς τη συμμετοχή των ατόμων με αναπηρία στην κοινωνική ζωή;</w:t>
      </w:r>
    </w:p>
    <w:p w14:paraId="0B1A54F1" w14:textId="77777777" w:rsidR="00326CC1" w:rsidRDefault="00326CC1" w:rsidP="000D55E1">
      <w:pPr>
        <w:spacing w:before="240"/>
        <w:ind w:firstLine="284"/>
        <w:jc w:val="both"/>
        <w:rPr>
          <w:rFonts w:asciiTheme="minorHAnsi" w:hAnsiTheme="minorHAnsi" w:cstheme="minorHAnsi"/>
          <w:b/>
          <w:sz w:val="22"/>
          <w:szCs w:val="22"/>
          <w:lang w:eastAsia="el-GR"/>
        </w:rPr>
      </w:pPr>
      <w:r w:rsidRPr="00326CC1">
        <w:rPr>
          <w:rFonts w:asciiTheme="minorHAnsi" w:hAnsiTheme="minorHAnsi" w:cstheme="minorHAnsi"/>
          <w:b/>
          <w:sz w:val="22"/>
          <w:szCs w:val="22"/>
          <w:lang w:eastAsia="el-GR"/>
        </w:rPr>
        <w:t>ΜΕΘΟΔΟΣ</w:t>
      </w:r>
    </w:p>
    <w:p w14:paraId="3709B1B5" w14:textId="0C39691C" w:rsidR="00326CC1" w:rsidRPr="00326CC1" w:rsidRDefault="00326CC1" w:rsidP="000F192F">
      <w:pPr>
        <w:ind w:firstLine="284"/>
        <w:jc w:val="both"/>
        <w:rPr>
          <w:rFonts w:asciiTheme="minorHAnsi" w:hAnsiTheme="minorHAnsi" w:cstheme="minorHAnsi"/>
          <w:b/>
          <w:sz w:val="22"/>
          <w:szCs w:val="22"/>
          <w:lang w:eastAsia="el-GR"/>
        </w:rPr>
      </w:pPr>
      <w:r w:rsidRPr="00326CC1">
        <w:rPr>
          <w:rFonts w:asciiTheme="minorHAnsi" w:hAnsiTheme="minorHAnsi" w:cstheme="minorHAnsi"/>
          <w:sz w:val="22"/>
          <w:szCs w:val="22"/>
          <w:lang w:eastAsia="el-GR"/>
        </w:rPr>
        <w:t xml:space="preserve">Για τη συλλογή των δεδομένων, οι ερευνητές σχεδίασαν ένα ερωτηματολόγιο, το οποίο διανεμήθηκε ηλεκτρονικά μέσω της πλατφόρμας </w:t>
      </w:r>
      <w:proofErr w:type="spellStart"/>
      <w:r w:rsidRPr="00326CC1">
        <w:rPr>
          <w:rFonts w:asciiTheme="minorHAnsi" w:hAnsiTheme="minorHAnsi" w:cstheme="minorHAnsi"/>
          <w:sz w:val="22"/>
          <w:szCs w:val="22"/>
          <w:lang w:eastAsia="el-GR"/>
        </w:rPr>
        <w:t>Google</w:t>
      </w:r>
      <w:proofErr w:type="spellEnd"/>
      <w:r w:rsidRPr="00326CC1">
        <w:rPr>
          <w:rFonts w:asciiTheme="minorHAnsi" w:hAnsiTheme="minorHAnsi" w:cstheme="minorHAnsi"/>
          <w:sz w:val="22"/>
          <w:szCs w:val="22"/>
          <w:lang w:eastAsia="el-GR"/>
        </w:rPr>
        <w:t xml:space="preserve"> </w:t>
      </w:r>
      <w:proofErr w:type="spellStart"/>
      <w:r w:rsidRPr="00326CC1">
        <w:rPr>
          <w:rFonts w:asciiTheme="minorHAnsi" w:hAnsiTheme="minorHAnsi" w:cstheme="minorHAnsi"/>
          <w:sz w:val="22"/>
          <w:szCs w:val="22"/>
          <w:lang w:eastAsia="el-GR"/>
        </w:rPr>
        <w:t>Forms</w:t>
      </w:r>
      <w:proofErr w:type="spellEnd"/>
      <w:r w:rsidRPr="00326CC1">
        <w:rPr>
          <w:rFonts w:asciiTheme="minorHAnsi" w:hAnsiTheme="minorHAnsi" w:cstheme="minorHAnsi"/>
          <w:sz w:val="22"/>
          <w:szCs w:val="22"/>
          <w:lang w:eastAsia="el-GR"/>
        </w:rPr>
        <w:t>. Αρχικά αποστάλθηκε σε συγκεκριμένα άτομα, τα οποία με τη σειρά τους το κοινοποίησαν σε φίλους και συνεργάτες τους. Επιπλέον, το ερωτηματολόγιο αναρτήθηκε σε διάφορα κοινωνικά δίκτυα, οδηγώντας στη συγκέντρωση συνολικά 244 πλήρως συμπληρωμένων ερωτηματολογίων.</w:t>
      </w:r>
    </w:p>
    <w:p w14:paraId="09F3367D" w14:textId="1EC22909" w:rsidR="00326CC1" w:rsidRPr="00326CC1" w:rsidRDefault="00326CC1" w:rsidP="005D63A7">
      <w:pPr>
        <w:suppressAutoHyphens w:val="0"/>
        <w:spacing w:before="240"/>
        <w:ind w:firstLine="284"/>
        <w:jc w:val="both"/>
        <w:rPr>
          <w:rFonts w:asciiTheme="minorHAnsi" w:hAnsiTheme="minorHAnsi" w:cstheme="minorHAnsi"/>
          <w:sz w:val="22"/>
          <w:szCs w:val="22"/>
          <w:lang w:eastAsia="el-GR"/>
        </w:rPr>
      </w:pPr>
      <w:r w:rsidRPr="005E69B4">
        <w:rPr>
          <w:rFonts w:asciiTheme="minorHAnsi" w:hAnsiTheme="minorHAnsi" w:cstheme="minorHAnsi"/>
          <w:i/>
          <w:sz w:val="22"/>
          <w:szCs w:val="22"/>
          <w:lang w:eastAsia="el-GR"/>
        </w:rPr>
        <w:t>Εργαλείο:</w:t>
      </w:r>
      <w:r w:rsidRPr="00326CC1">
        <w:rPr>
          <w:rFonts w:asciiTheme="minorHAnsi" w:hAnsiTheme="minorHAnsi" w:cstheme="minorHAnsi"/>
          <w:sz w:val="22"/>
          <w:szCs w:val="22"/>
          <w:lang w:eastAsia="el-GR"/>
        </w:rPr>
        <w:t xml:space="preserve"> Με βάση την ανασκόπηση της βιβλιογραφίας, συλλέχθηκαν διάφορες προτάσεις που κρίθηκαν ως οι πλέον αντιπροσωπευτικές για το αντικείμενο μελέτης. Από αυτές δημιουργήθηκε μια δεξαμενή ερωτήσεων που εξετάζουν τις αντιλήψεις του γενικού πληθυσμού σχετικά με τους παράγοντες που ε</w:t>
      </w:r>
      <w:r w:rsidR="0020270B">
        <w:rPr>
          <w:rFonts w:asciiTheme="minorHAnsi" w:hAnsiTheme="minorHAnsi" w:cstheme="minorHAnsi"/>
          <w:sz w:val="22"/>
          <w:szCs w:val="22"/>
          <w:lang w:eastAsia="el-GR"/>
        </w:rPr>
        <w:t>ρμηνεύουν</w:t>
      </w:r>
      <w:r w:rsidRPr="00326CC1">
        <w:rPr>
          <w:rFonts w:asciiTheme="minorHAnsi" w:hAnsiTheme="minorHAnsi" w:cstheme="minorHAnsi"/>
          <w:sz w:val="22"/>
          <w:szCs w:val="22"/>
          <w:lang w:eastAsia="el-GR"/>
        </w:rPr>
        <w:t xml:space="preserve"> την κοινωνική ένταξη των ατόμων με αναπηρία. Αρχικά, το ερωτηματολόγιο περιλάμβανε 25 ερωτήματα, τα οποία αξιολογούνταν μέσω </w:t>
      </w:r>
      <w:proofErr w:type="spellStart"/>
      <w:r w:rsidRPr="00326CC1">
        <w:rPr>
          <w:rFonts w:asciiTheme="minorHAnsi" w:hAnsiTheme="minorHAnsi" w:cstheme="minorHAnsi"/>
          <w:sz w:val="22"/>
          <w:szCs w:val="22"/>
          <w:lang w:eastAsia="el-GR"/>
        </w:rPr>
        <w:t>πεντάβαθμης</w:t>
      </w:r>
      <w:proofErr w:type="spellEnd"/>
      <w:r w:rsidRPr="00326CC1">
        <w:rPr>
          <w:rFonts w:asciiTheme="minorHAnsi" w:hAnsiTheme="minorHAnsi" w:cstheme="minorHAnsi"/>
          <w:sz w:val="22"/>
          <w:szCs w:val="22"/>
          <w:lang w:eastAsia="el-GR"/>
        </w:rPr>
        <w:t xml:space="preserve"> κλίμακας </w:t>
      </w:r>
      <w:proofErr w:type="spellStart"/>
      <w:r w:rsidRPr="00326CC1">
        <w:rPr>
          <w:rFonts w:asciiTheme="minorHAnsi" w:hAnsiTheme="minorHAnsi" w:cstheme="minorHAnsi"/>
          <w:sz w:val="22"/>
          <w:szCs w:val="22"/>
          <w:lang w:eastAsia="el-GR"/>
        </w:rPr>
        <w:t>Likert</w:t>
      </w:r>
      <w:proofErr w:type="spellEnd"/>
      <w:r w:rsidRPr="00326CC1">
        <w:rPr>
          <w:rFonts w:asciiTheme="minorHAnsi" w:hAnsiTheme="minorHAnsi" w:cstheme="minorHAnsi"/>
          <w:sz w:val="22"/>
          <w:szCs w:val="22"/>
          <w:lang w:eastAsia="el-GR"/>
        </w:rPr>
        <w:t>, με άκρα «Διαφωνώ απολύτως» (1) έως «Συμφωνώ απολύτως» (5).</w:t>
      </w:r>
    </w:p>
    <w:p w14:paraId="66E993D0" w14:textId="77777777" w:rsidR="000F192F" w:rsidRDefault="00326CC1" w:rsidP="000F192F">
      <w:pPr>
        <w:suppressAutoHyphens w:val="0"/>
        <w:ind w:firstLine="284"/>
        <w:jc w:val="both"/>
        <w:rPr>
          <w:rFonts w:asciiTheme="minorHAnsi" w:hAnsiTheme="minorHAnsi" w:cstheme="minorHAnsi"/>
          <w:sz w:val="22"/>
          <w:szCs w:val="22"/>
          <w:lang w:eastAsia="el-GR"/>
        </w:rPr>
      </w:pPr>
      <w:r w:rsidRPr="00326CC1">
        <w:rPr>
          <w:rFonts w:asciiTheme="minorHAnsi" w:hAnsiTheme="minorHAnsi" w:cstheme="minorHAnsi"/>
          <w:sz w:val="22"/>
          <w:szCs w:val="22"/>
          <w:lang w:eastAsia="el-GR"/>
        </w:rPr>
        <w:t>Το ερωτηματολόγιο αξιολογήθηκε αρχικά από άλλους ερευνητές και επιστήμονες του ίδιου πεδίου, προκειμένου να ελεγχθεί η σαφήνεια και η ακρίβεια των διατυπώσεων. Τα σχόλιά τους λήφθηκαν υπόψη και ενσωματώθηκαν οι αναγκαίες διορθώσεις. Στη συνέχεια, η τελική μορφή του ερωτηματολογίου διανεμήθηκε τόσο μέσω κοινωνικών δικτύων όσο και δια ζώσης, συγκεντρώνοντας 244 πλήρως συμπληρωμένα ερωτηματολόγια.</w:t>
      </w:r>
      <w:r w:rsidR="000F192F" w:rsidRPr="000F192F">
        <w:rPr>
          <w:rFonts w:asciiTheme="minorHAnsi" w:hAnsiTheme="minorHAnsi" w:cstheme="minorHAnsi"/>
          <w:sz w:val="22"/>
          <w:szCs w:val="22"/>
          <w:lang w:eastAsia="el-GR"/>
        </w:rPr>
        <w:t xml:space="preserve"> </w:t>
      </w:r>
    </w:p>
    <w:p w14:paraId="1EA9E79A" w14:textId="29B3845C" w:rsidR="00326CC1" w:rsidRPr="00326CC1" w:rsidRDefault="00326CC1" w:rsidP="000F192F">
      <w:pPr>
        <w:suppressAutoHyphens w:val="0"/>
        <w:ind w:firstLine="284"/>
        <w:jc w:val="both"/>
        <w:rPr>
          <w:rFonts w:asciiTheme="minorHAnsi" w:hAnsiTheme="minorHAnsi" w:cstheme="minorHAnsi"/>
          <w:sz w:val="22"/>
          <w:szCs w:val="22"/>
          <w:lang w:eastAsia="el-GR"/>
        </w:rPr>
      </w:pPr>
      <w:r w:rsidRPr="00326CC1">
        <w:rPr>
          <w:rFonts w:asciiTheme="minorHAnsi" w:hAnsiTheme="minorHAnsi" w:cstheme="minorHAnsi"/>
          <w:sz w:val="22"/>
          <w:szCs w:val="22"/>
          <w:lang w:eastAsia="el-GR"/>
        </w:rPr>
        <w:t xml:space="preserve">Η μεθοδολογική προσέγγιση </w:t>
      </w:r>
      <w:r w:rsidR="00CE46EA" w:rsidRPr="00CE46EA">
        <w:rPr>
          <w:rFonts w:asciiTheme="minorHAnsi" w:hAnsiTheme="minorHAnsi" w:cstheme="minorHAnsi"/>
          <w:color w:val="FF0000"/>
          <w:sz w:val="22"/>
          <w:szCs w:val="22"/>
          <w:lang w:eastAsia="el-GR"/>
        </w:rPr>
        <w:t xml:space="preserve">για </w:t>
      </w:r>
      <w:r w:rsidR="00CE46EA">
        <w:rPr>
          <w:rFonts w:asciiTheme="minorHAnsi" w:hAnsiTheme="minorHAnsi" w:cstheme="minorHAnsi"/>
          <w:color w:val="FF0000"/>
          <w:sz w:val="22"/>
          <w:szCs w:val="22"/>
          <w:lang w:eastAsia="el-GR"/>
        </w:rPr>
        <w:t>τον έλεγχο της αξιοπιστίας και της εγκυρότητας του εργαλείου</w:t>
      </w:r>
      <w:r w:rsidRPr="00326CC1">
        <w:rPr>
          <w:rFonts w:asciiTheme="minorHAnsi" w:hAnsiTheme="minorHAnsi" w:cstheme="minorHAnsi"/>
          <w:sz w:val="22"/>
          <w:szCs w:val="22"/>
          <w:lang w:eastAsia="el-GR"/>
        </w:rPr>
        <w:t xml:space="preserve">, βασισμένη στις μελέτες των </w:t>
      </w:r>
      <w:proofErr w:type="spellStart"/>
      <w:r w:rsidRPr="00326CC1">
        <w:rPr>
          <w:rFonts w:asciiTheme="minorHAnsi" w:hAnsiTheme="minorHAnsi" w:cstheme="minorHAnsi"/>
          <w:sz w:val="22"/>
          <w:szCs w:val="22"/>
          <w:lang w:eastAsia="el-GR"/>
        </w:rPr>
        <w:t>Hair</w:t>
      </w:r>
      <w:proofErr w:type="spellEnd"/>
      <w:r w:rsidRPr="00326CC1">
        <w:rPr>
          <w:rFonts w:asciiTheme="minorHAnsi" w:hAnsiTheme="minorHAnsi" w:cstheme="minorHAnsi"/>
          <w:sz w:val="22"/>
          <w:szCs w:val="22"/>
          <w:lang w:eastAsia="el-GR"/>
        </w:rPr>
        <w:t xml:space="preserve"> </w:t>
      </w:r>
      <w:proofErr w:type="spellStart"/>
      <w:r w:rsidRPr="00326CC1">
        <w:rPr>
          <w:rFonts w:asciiTheme="minorHAnsi" w:hAnsiTheme="minorHAnsi" w:cstheme="minorHAnsi"/>
          <w:sz w:val="22"/>
          <w:szCs w:val="22"/>
          <w:lang w:eastAsia="el-GR"/>
        </w:rPr>
        <w:t>et</w:t>
      </w:r>
      <w:proofErr w:type="spellEnd"/>
      <w:r w:rsidRPr="00326CC1">
        <w:rPr>
          <w:rFonts w:asciiTheme="minorHAnsi" w:hAnsiTheme="minorHAnsi" w:cstheme="minorHAnsi"/>
          <w:sz w:val="22"/>
          <w:szCs w:val="22"/>
          <w:lang w:eastAsia="el-GR"/>
        </w:rPr>
        <w:t xml:space="preserve"> </w:t>
      </w:r>
      <w:proofErr w:type="spellStart"/>
      <w:r w:rsidRPr="00326CC1">
        <w:rPr>
          <w:rFonts w:asciiTheme="minorHAnsi" w:hAnsiTheme="minorHAnsi" w:cstheme="minorHAnsi"/>
          <w:sz w:val="22"/>
          <w:szCs w:val="22"/>
          <w:lang w:eastAsia="el-GR"/>
        </w:rPr>
        <w:t>al</w:t>
      </w:r>
      <w:proofErr w:type="spellEnd"/>
      <w:r w:rsidRPr="00326CC1">
        <w:rPr>
          <w:rFonts w:asciiTheme="minorHAnsi" w:hAnsiTheme="minorHAnsi" w:cstheme="minorHAnsi"/>
          <w:sz w:val="22"/>
          <w:szCs w:val="22"/>
          <w:lang w:eastAsia="el-GR"/>
        </w:rPr>
        <w:t xml:space="preserve">. (2010), </w:t>
      </w:r>
      <w:proofErr w:type="spellStart"/>
      <w:r w:rsidRPr="00326CC1">
        <w:rPr>
          <w:rFonts w:asciiTheme="minorHAnsi" w:hAnsiTheme="minorHAnsi" w:cstheme="minorHAnsi"/>
          <w:sz w:val="22"/>
          <w:szCs w:val="22"/>
          <w:lang w:eastAsia="el-GR"/>
        </w:rPr>
        <w:t>Koufteros</w:t>
      </w:r>
      <w:proofErr w:type="spellEnd"/>
      <w:r w:rsidRPr="00326CC1">
        <w:rPr>
          <w:rFonts w:asciiTheme="minorHAnsi" w:hAnsiTheme="minorHAnsi" w:cstheme="minorHAnsi"/>
          <w:sz w:val="22"/>
          <w:szCs w:val="22"/>
          <w:lang w:eastAsia="el-GR"/>
        </w:rPr>
        <w:t xml:space="preserve"> et </w:t>
      </w:r>
      <w:proofErr w:type="spellStart"/>
      <w:r w:rsidRPr="00326CC1">
        <w:rPr>
          <w:rFonts w:asciiTheme="minorHAnsi" w:hAnsiTheme="minorHAnsi" w:cstheme="minorHAnsi"/>
          <w:sz w:val="22"/>
          <w:szCs w:val="22"/>
          <w:lang w:eastAsia="el-GR"/>
        </w:rPr>
        <w:t>al</w:t>
      </w:r>
      <w:proofErr w:type="spellEnd"/>
      <w:r w:rsidRPr="00326CC1">
        <w:rPr>
          <w:rFonts w:asciiTheme="minorHAnsi" w:hAnsiTheme="minorHAnsi" w:cstheme="minorHAnsi"/>
          <w:sz w:val="22"/>
          <w:szCs w:val="22"/>
          <w:lang w:eastAsia="el-GR"/>
        </w:rPr>
        <w:t xml:space="preserve">. (2001, 1999), </w:t>
      </w:r>
      <w:proofErr w:type="spellStart"/>
      <w:r w:rsidRPr="00326CC1">
        <w:rPr>
          <w:rFonts w:asciiTheme="minorHAnsi" w:hAnsiTheme="minorHAnsi" w:cstheme="minorHAnsi"/>
          <w:sz w:val="22"/>
          <w:szCs w:val="22"/>
          <w:lang w:eastAsia="el-GR"/>
        </w:rPr>
        <w:t>Segars</w:t>
      </w:r>
      <w:proofErr w:type="spellEnd"/>
      <w:r w:rsidRPr="00326CC1">
        <w:rPr>
          <w:rFonts w:asciiTheme="minorHAnsi" w:hAnsiTheme="minorHAnsi" w:cstheme="minorHAnsi"/>
          <w:sz w:val="22"/>
          <w:szCs w:val="22"/>
          <w:lang w:eastAsia="el-GR"/>
        </w:rPr>
        <w:t xml:space="preserve"> (1997), </w:t>
      </w:r>
      <w:proofErr w:type="spellStart"/>
      <w:r w:rsidRPr="00326CC1">
        <w:rPr>
          <w:rFonts w:asciiTheme="minorHAnsi" w:hAnsiTheme="minorHAnsi" w:cstheme="minorHAnsi"/>
          <w:sz w:val="22"/>
          <w:szCs w:val="22"/>
          <w:lang w:eastAsia="el-GR"/>
        </w:rPr>
        <w:t>Balog</w:t>
      </w:r>
      <w:proofErr w:type="spellEnd"/>
      <w:r w:rsidRPr="00326CC1">
        <w:rPr>
          <w:rFonts w:asciiTheme="minorHAnsi" w:hAnsiTheme="minorHAnsi" w:cstheme="minorHAnsi"/>
          <w:sz w:val="22"/>
          <w:szCs w:val="22"/>
          <w:lang w:eastAsia="el-GR"/>
        </w:rPr>
        <w:t xml:space="preserve"> &amp; </w:t>
      </w:r>
      <w:proofErr w:type="spellStart"/>
      <w:r w:rsidRPr="00326CC1">
        <w:rPr>
          <w:rFonts w:asciiTheme="minorHAnsi" w:hAnsiTheme="minorHAnsi" w:cstheme="minorHAnsi"/>
          <w:sz w:val="22"/>
          <w:szCs w:val="22"/>
          <w:lang w:eastAsia="el-GR"/>
        </w:rPr>
        <w:t>Pribeanu</w:t>
      </w:r>
      <w:proofErr w:type="spellEnd"/>
      <w:r w:rsidRPr="00326CC1">
        <w:rPr>
          <w:rFonts w:asciiTheme="minorHAnsi" w:hAnsiTheme="minorHAnsi" w:cstheme="minorHAnsi"/>
          <w:sz w:val="22"/>
          <w:szCs w:val="22"/>
          <w:lang w:eastAsia="el-GR"/>
        </w:rPr>
        <w:t xml:space="preserve"> (2010), </w:t>
      </w:r>
      <w:proofErr w:type="spellStart"/>
      <w:r w:rsidRPr="00326CC1">
        <w:rPr>
          <w:rFonts w:asciiTheme="minorHAnsi" w:hAnsiTheme="minorHAnsi" w:cstheme="minorHAnsi"/>
          <w:sz w:val="22"/>
          <w:szCs w:val="22"/>
          <w:lang w:eastAsia="el-GR"/>
        </w:rPr>
        <w:t>Lu</w:t>
      </w:r>
      <w:proofErr w:type="spellEnd"/>
      <w:r w:rsidRPr="00326CC1">
        <w:rPr>
          <w:rFonts w:asciiTheme="minorHAnsi" w:hAnsiTheme="minorHAnsi" w:cstheme="minorHAnsi"/>
          <w:sz w:val="22"/>
          <w:szCs w:val="22"/>
          <w:lang w:eastAsia="el-GR"/>
        </w:rPr>
        <w:t xml:space="preserve"> </w:t>
      </w:r>
      <w:proofErr w:type="spellStart"/>
      <w:r w:rsidRPr="00326CC1">
        <w:rPr>
          <w:rFonts w:asciiTheme="minorHAnsi" w:hAnsiTheme="minorHAnsi" w:cstheme="minorHAnsi"/>
          <w:sz w:val="22"/>
          <w:szCs w:val="22"/>
          <w:lang w:eastAsia="el-GR"/>
        </w:rPr>
        <w:t>et</w:t>
      </w:r>
      <w:proofErr w:type="spellEnd"/>
      <w:r w:rsidRPr="00326CC1">
        <w:rPr>
          <w:rFonts w:asciiTheme="minorHAnsi" w:hAnsiTheme="minorHAnsi" w:cstheme="minorHAnsi"/>
          <w:sz w:val="22"/>
          <w:szCs w:val="22"/>
          <w:lang w:eastAsia="el-GR"/>
        </w:rPr>
        <w:t xml:space="preserve"> </w:t>
      </w:r>
      <w:proofErr w:type="spellStart"/>
      <w:r w:rsidRPr="00326CC1">
        <w:rPr>
          <w:rFonts w:asciiTheme="minorHAnsi" w:hAnsiTheme="minorHAnsi" w:cstheme="minorHAnsi"/>
          <w:sz w:val="22"/>
          <w:szCs w:val="22"/>
          <w:lang w:eastAsia="el-GR"/>
        </w:rPr>
        <w:t>al</w:t>
      </w:r>
      <w:proofErr w:type="spellEnd"/>
      <w:r w:rsidRPr="00326CC1">
        <w:rPr>
          <w:rFonts w:asciiTheme="minorHAnsi" w:hAnsiTheme="minorHAnsi" w:cstheme="minorHAnsi"/>
          <w:sz w:val="22"/>
          <w:szCs w:val="22"/>
          <w:lang w:eastAsia="el-GR"/>
        </w:rPr>
        <w:t xml:space="preserve">. (2007), Νικολάου &amp; Μπαρμπαρούσης (2017), καθώς και Μπαρμπαρούσης &amp; Νικολάου (2018), οργανώθηκε σε δύο φάσεις: αρχικά </w:t>
      </w:r>
      <w:r w:rsidRPr="00326CC1">
        <w:rPr>
          <w:rFonts w:asciiTheme="minorHAnsi" w:hAnsiTheme="minorHAnsi" w:cstheme="minorHAnsi"/>
          <w:sz w:val="22"/>
          <w:szCs w:val="22"/>
          <w:lang w:eastAsia="el-GR"/>
        </w:rPr>
        <w:lastRenderedPageBreak/>
        <w:t>πραγματοποιήθηκε διερευνητική παραγοντική ανάλυση σε συνδυασμό με παράλληλη ανάλυση, ενώ στη συνέχεια ακολούθησε επιβεβαιωτική παραγοντική ανάλυση με τη χρήση του λογισμικού SPSS AMOS 28 (</w:t>
      </w:r>
      <w:proofErr w:type="spellStart"/>
      <w:r w:rsidRPr="00326CC1">
        <w:rPr>
          <w:rFonts w:asciiTheme="minorHAnsi" w:hAnsiTheme="minorHAnsi" w:cstheme="minorHAnsi"/>
          <w:sz w:val="22"/>
          <w:szCs w:val="22"/>
          <w:lang w:eastAsia="el-GR"/>
        </w:rPr>
        <w:t>Arbuckle</w:t>
      </w:r>
      <w:proofErr w:type="spellEnd"/>
      <w:r w:rsidRPr="00326CC1">
        <w:rPr>
          <w:rFonts w:asciiTheme="minorHAnsi" w:hAnsiTheme="minorHAnsi" w:cstheme="minorHAnsi"/>
          <w:sz w:val="22"/>
          <w:szCs w:val="22"/>
          <w:lang w:eastAsia="el-GR"/>
        </w:rPr>
        <w:t>, 2021).</w:t>
      </w:r>
    </w:p>
    <w:p w14:paraId="0DA32E45" w14:textId="6C399330" w:rsidR="002C58F0" w:rsidRDefault="00326CC1" w:rsidP="005D63A7">
      <w:pPr>
        <w:spacing w:before="240"/>
        <w:ind w:firstLine="284"/>
        <w:jc w:val="both"/>
        <w:rPr>
          <w:rFonts w:asciiTheme="minorHAnsi" w:hAnsiTheme="minorHAnsi" w:cstheme="minorHAnsi"/>
          <w:sz w:val="22"/>
          <w:szCs w:val="22"/>
        </w:rPr>
      </w:pPr>
      <w:r w:rsidRPr="005E69B4">
        <w:rPr>
          <w:rFonts w:asciiTheme="minorHAnsi" w:hAnsiTheme="minorHAnsi" w:cstheme="minorHAnsi"/>
          <w:bCs/>
          <w:i/>
          <w:iCs/>
          <w:sz w:val="22"/>
          <w:szCs w:val="22"/>
        </w:rPr>
        <w:t>Δείγμα:</w:t>
      </w:r>
      <w:r w:rsidRPr="00326CC1">
        <w:rPr>
          <w:rFonts w:asciiTheme="minorHAnsi" w:hAnsiTheme="minorHAnsi" w:cstheme="minorHAnsi"/>
          <w:i/>
          <w:iCs/>
          <w:sz w:val="22"/>
          <w:szCs w:val="22"/>
        </w:rPr>
        <w:t xml:space="preserve"> </w:t>
      </w:r>
      <w:r w:rsidRPr="00326CC1">
        <w:rPr>
          <w:rFonts w:asciiTheme="minorHAnsi" w:hAnsiTheme="minorHAnsi" w:cstheme="minorHAnsi"/>
          <w:sz w:val="22"/>
          <w:szCs w:val="22"/>
        </w:rPr>
        <w:t>Συμμετείχαν 244 άτομα, από τα οποία 86 άντρες (35,25%) και 158 γυναίκες (64,75%). Στην ηλικιακή κατηγορία 20 έως 30 ετών εντάσσονται 55 άτομα (22,54%), στην κατηγορία 31 έως 40 ετών κατατάσσονται 103 άτομα (42,21%), στην κατηγορία 41 έως 50 ετών κατατάσσονται 66 άτομα (27,05%) και τέλος στην κατηγορία 51 έως 60 ετών εντάσσονται 20 άτομα (8,20%). Μεταξύ των ερευνητικών υποκειμένων απολυτήριο δευτεροβάθμιας εκπαίδευσης κατέχουν 27 άτομα (11,07%), πτυχίο τριτοβάθμιας εκπαίδευσης κατέχουν 127 άτομα (52,05%) και μεταπτυχιακό/διδακτορικό κατέχουν 90 άτομα (36,89%).   Ως προς το επάγγελμα, έγινε μία ομαδοποίηση και προέκυψαν οι εξής πέντε μεγάλες κατηγορίες εκπαιδευτικοί – Ιδιωτικοί υπάλληλοι- Δημόσιοι Υπάλληλοι- Επαγγελματίες υγείας (ψυχολόγοι-κοινωνικοί λειτουργοί- νοσηλευτές) -Ελεύθεροι επαγγελματίες.</w:t>
      </w:r>
    </w:p>
    <w:p w14:paraId="3D4B339F" w14:textId="406DB327" w:rsidR="00326CC1" w:rsidRDefault="002C58F0" w:rsidP="005D63A7">
      <w:pPr>
        <w:spacing w:before="240"/>
        <w:ind w:firstLine="284"/>
        <w:jc w:val="both"/>
        <w:rPr>
          <w:rFonts w:asciiTheme="minorHAnsi" w:hAnsiTheme="minorHAnsi" w:cstheme="minorHAnsi"/>
          <w:b/>
          <w:sz w:val="22"/>
          <w:szCs w:val="22"/>
        </w:rPr>
      </w:pPr>
      <w:r w:rsidRPr="002C58F0">
        <w:rPr>
          <w:rFonts w:asciiTheme="minorHAnsi" w:hAnsiTheme="minorHAnsi" w:cstheme="minorHAnsi"/>
          <w:b/>
          <w:sz w:val="22"/>
          <w:szCs w:val="22"/>
        </w:rPr>
        <w:t>Α</w:t>
      </w:r>
      <w:r w:rsidR="00C84D43">
        <w:rPr>
          <w:rFonts w:asciiTheme="minorHAnsi" w:hAnsiTheme="minorHAnsi" w:cstheme="minorHAnsi"/>
          <w:b/>
          <w:sz w:val="22"/>
          <w:szCs w:val="22"/>
        </w:rPr>
        <w:t>ποτελέσματα</w:t>
      </w:r>
    </w:p>
    <w:p w14:paraId="4B7EB1E3" w14:textId="77D077AB" w:rsidR="00CE46EA" w:rsidRPr="00CE46EA" w:rsidRDefault="00CE46EA" w:rsidP="005E69B4">
      <w:pPr>
        <w:ind w:firstLine="284"/>
        <w:jc w:val="both"/>
        <w:rPr>
          <w:rFonts w:asciiTheme="minorHAnsi" w:hAnsiTheme="minorHAnsi" w:cstheme="minorHAnsi"/>
          <w:bCs/>
          <w:color w:val="FF0000"/>
          <w:sz w:val="22"/>
          <w:szCs w:val="22"/>
        </w:rPr>
      </w:pPr>
      <w:r w:rsidRPr="00CE46EA">
        <w:rPr>
          <w:rFonts w:asciiTheme="minorHAnsi" w:hAnsiTheme="minorHAnsi" w:cstheme="minorHAnsi"/>
          <w:bCs/>
          <w:color w:val="FF0000"/>
          <w:sz w:val="22"/>
          <w:szCs w:val="22"/>
        </w:rPr>
        <w:t xml:space="preserve">Για τον έλεγχο της αξιοπιστίας και </w:t>
      </w:r>
      <w:r>
        <w:rPr>
          <w:rFonts w:asciiTheme="minorHAnsi" w:hAnsiTheme="minorHAnsi" w:cstheme="minorHAnsi"/>
          <w:bCs/>
          <w:color w:val="FF0000"/>
          <w:sz w:val="22"/>
          <w:szCs w:val="22"/>
        </w:rPr>
        <w:t xml:space="preserve">της εγκυρότητας του εργαλείου πραγματοποιήθηκε </w:t>
      </w:r>
      <w:r w:rsidRPr="00CE46EA">
        <w:rPr>
          <w:rFonts w:asciiTheme="minorHAnsi" w:hAnsiTheme="minorHAnsi" w:cstheme="minorHAnsi"/>
          <w:bCs/>
          <w:color w:val="FF0000"/>
          <w:sz w:val="22"/>
          <w:szCs w:val="22"/>
        </w:rPr>
        <w:t>Διερευνητική παραγοντική ανάλυση</w:t>
      </w:r>
      <w:r>
        <w:rPr>
          <w:rFonts w:asciiTheme="minorHAnsi" w:hAnsiTheme="minorHAnsi" w:cstheme="minorHAnsi"/>
          <w:bCs/>
          <w:color w:val="FF0000"/>
          <w:sz w:val="22"/>
          <w:szCs w:val="22"/>
        </w:rPr>
        <w:t>, παράλληλη ανάλυση και επιβεβαιωτική παραγοντική ανάλυση.</w:t>
      </w:r>
    </w:p>
    <w:p w14:paraId="66F4AE57" w14:textId="77777777" w:rsidR="00326CC1" w:rsidRPr="00326CC1" w:rsidRDefault="00326CC1" w:rsidP="000F192F">
      <w:pPr>
        <w:spacing w:before="240"/>
        <w:ind w:firstLine="284"/>
        <w:jc w:val="both"/>
        <w:rPr>
          <w:rFonts w:asciiTheme="minorHAnsi" w:hAnsiTheme="minorHAnsi" w:cstheme="minorHAnsi"/>
          <w:bCs/>
          <w:i/>
          <w:iCs/>
          <w:sz w:val="22"/>
          <w:szCs w:val="22"/>
        </w:rPr>
      </w:pPr>
      <w:r w:rsidRPr="00326CC1">
        <w:rPr>
          <w:rFonts w:asciiTheme="minorHAnsi" w:hAnsiTheme="minorHAnsi" w:cstheme="minorHAnsi"/>
          <w:bCs/>
          <w:i/>
          <w:iCs/>
          <w:sz w:val="22"/>
          <w:szCs w:val="22"/>
        </w:rPr>
        <w:t>Α. Διερευνητική παραγοντική ανάλυση</w:t>
      </w:r>
    </w:p>
    <w:p w14:paraId="7ADA7001" w14:textId="3250A2E5" w:rsidR="00C84D43" w:rsidRPr="005D63A7" w:rsidRDefault="00326CC1" w:rsidP="005E69B4">
      <w:pPr>
        <w:ind w:firstLine="284"/>
        <w:jc w:val="both"/>
        <w:rPr>
          <w:rFonts w:asciiTheme="minorHAnsi" w:eastAsia="Calibri" w:hAnsiTheme="minorHAnsi" w:cstheme="minorHAnsi"/>
          <w:sz w:val="22"/>
          <w:szCs w:val="22"/>
        </w:rPr>
      </w:pPr>
      <w:r w:rsidRPr="00326CC1">
        <w:rPr>
          <w:rFonts w:asciiTheme="minorHAnsi" w:hAnsiTheme="minorHAnsi" w:cstheme="minorHAnsi"/>
          <w:sz w:val="22"/>
          <w:szCs w:val="22"/>
        </w:rPr>
        <w:t xml:space="preserve">Η κλίμακα που δόθηκε προς συμπλήρωση συμφωνούσε με τα κριτήρια </w:t>
      </w:r>
      <w:proofErr w:type="spellStart"/>
      <w:r w:rsidRPr="00326CC1">
        <w:rPr>
          <w:rFonts w:asciiTheme="minorHAnsi" w:hAnsiTheme="minorHAnsi" w:cstheme="minorHAnsi"/>
          <w:sz w:val="22"/>
          <w:szCs w:val="22"/>
        </w:rPr>
        <w:t>παραγοντοποίησης</w:t>
      </w:r>
      <w:proofErr w:type="spellEnd"/>
      <w:r w:rsidRPr="00326CC1">
        <w:rPr>
          <w:rFonts w:asciiTheme="minorHAnsi" w:hAnsiTheme="minorHAnsi" w:cstheme="minorHAnsi"/>
          <w:sz w:val="22"/>
          <w:szCs w:val="22"/>
        </w:rPr>
        <w:t xml:space="preserve">, με </w:t>
      </w:r>
      <w:proofErr w:type="spellStart"/>
      <w:r w:rsidRPr="00326CC1">
        <w:rPr>
          <w:rFonts w:asciiTheme="minorHAnsi" w:hAnsiTheme="minorHAnsi" w:cstheme="minorHAnsi"/>
          <w:sz w:val="22"/>
          <w:szCs w:val="22"/>
        </w:rPr>
        <w:t>Kaiser-Meyer-Olkin</w:t>
      </w:r>
      <w:proofErr w:type="spellEnd"/>
      <w:r w:rsidRPr="00326CC1">
        <w:rPr>
          <w:rFonts w:asciiTheme="minorHAnsi" w:hAnsiTheme="minorHAnsi" w:cstheme="minorHAnsi"/>
          <w:sz w:val="22"/>
          <w:szCs w:val="22"/>
        </w:rPr>
        <w:t xml:space="preserve"> (KMO) = 0,868 και </w:t>
      </w:r>
      <w:proofErr w:type="spellStart"/>
      <w:r w:rsidRPr="00326CC1">
        <w:rPr>
          <w:rFonts w:asciiTheme="minorHAnsi" w:hAnsiTheme="minorHAnsi" w:cstheme="minorHAnsi"/>
          <w:sz w:val="22"/>
          <w:szCs w:val="22"/>
        </w:rPr>
        <w:t>Bartlett’s</w:t>
      </w:r>
      <w:proofErr w:type="spellEnd"/>
      <w:r w:rsidRPr="00326CC1">
        <w:rPr>
          <w:rFonts w:asciiTheme="minorHAnsi" w:hAnsiTheme="minorHAnsi" w:cstheme="minorHAnsi"/>
          <w:sz w:val="22"/>
          <w:szCs w:val="22"/>
        </w:rPr>
        <w:t xml:space="preserve"> </w:t>
      </w:r>
      <w:proofErr w:type="spellStart"/>
      <w:r w:rsidRPr="00326CC1">
        <w:rPr>
          <w:rFonts w:asciiTheme="minorHAnsi" w:hAnsiTheme="minorHAnsi" w:cstheme="minorHAnsi"/>
          <w:sz w:val="22"/>
          <w:szCs w:val="22"/>
        </w:rPr>
        <w:t>Test</w:t>
      </w:r>
      <w:proofErr w:type="spellEnd"/>
      <w:r w:rsidRPr="00326CC1">
        <w:rPr>
          <w:rFonts w:asciiTheme="minorHAnsi" w:hAnsiTheme="minorHAnsi" w:cstheme="minorHAnsi"/>
          <w:sz w:val="22"/>
          <w:szCs w:val="22"/>
        </w:rPr>
        <w:t xml:space="preserve"> of </w:t>
      </w:r>
      <w:proofErr w:type="spellStart"/>
      <w:r w:rsidRPr="00326CC1">
        <w:rPr>
          <w:rFonts w:asciiTheme="minorHAnsi" w:hAnsiTheme="minorHAnsi" w:cstheme="minorHAnsi"/>
          <w:sz w:val="22"/>
          <w:szCs w:val="22"/>
        </w:rPr>
        <w:t>Sphericity</w:t>
      </w:r>
      <w:proofErr w:type="spellEnd"/>
      <w:r w:rsidRPr="00326CC1">
        <w:rPr>
          <w:rFonts w:asciiTheme="minorHAnsi" w:hAnsiTheme="minorHAnsi" w:cstheme="minorHAnsi"/>
          <w:sz w:val="22"/>
          <w:szCs w:val="22"/>
        </w:rPr>
        <w:t xml:space="preserve"> </w:t>
      </w:r>
      <w:r w:rsidRPr="00326CC1">
        <w:rPr>
          <w:rFonts w:asciiTheme="minorHAnsi" w:hAnsiTheme="minorHAnsi" w:cstheme="minorHAnsi"/>
          <w:i/>
          <w:sz w:val="22"/>
          <w:szCs w:val="22"/>
          <w:lang w:val="en-US"/>
        </w:rPr>
        <w:t>x</w:t>
      </w:r>
      <w:r w:rsidRPr="00326CC1">
        <w:rPr>
          <w:rFonts w:asciiTheme="minorHAnsi" w:hAnsiTheme="minorHAnsi" w:cstheme="minorHAnsi"/>
          <w:sz w:val="22"/>
          <w:szCs w:val="22"/>
          <w:vertAlign w:val="superscript"/>
        </w:rPr>
        <w:t>2</w:t>
      </w:r>
      <w:r w:rsidRPr="006B66C7">
        <w:rPr>
          <w:rFonts w:asciiTheme="minorHAnsi" w:hAnsiTheme="minorHAnsi" w:cstheme="minorHAnsi"/>
          <w:sz w:val="22"/>
          <w:szCs w:val="22"/>
          <w:vertAlign w:val="subscript"/>
        </w:rPr>
        <w:t>(78)</w:t>
      </w:r>
      <w:r w:rsidRPr="00326CC1">
        <w:rPr>
          <w:rFonts w:asciiTheme="minorHAnsi" w:hAnsiTheme="minorHAnsi" w:cstheme="minorHAnsi"/>
          <w:sz w:val="22"/>
          <w:szCs w:val="22"/>
        </w:rPr>
        <w:t xml:space="preserve"> = 2132,954, </w:t>
      </w:r>
      <w:r w:rsidRPr="00326CC1">
        <w:rPr>
          <w:rFonts w:asciiTheme="minorHAnsi" w:hAnsiTheme="minorHAnsi" w:cstheme="minorHAnsi"/>
          <w:i/>
          <w:sz w:val="22"/>
          <w:szCs w:val="22"/>
        </w:rPr>
        <w:t>p</w:t>
      </w:r>
      <w:r w:rsidRPr="00326CC1">
        <w:rPr>
          <w:rFonts w:asciiTheme="minorHAnsi" w:hAnsiTheme="minorHAnsi" w:cstheme="minorHAnsi"/>
          <w:sz w:val="22"/>
          <w:szCs w:val="22"/>
        </w:rPr>
        <w:t xml:space="preserve"> &lt; 0,001. Η εξαγωγή των συνιστωσών έγινε με τη μέθοδο των κύριων συνιστωσών (</w:t>
      </w:r>
      <w:r w:rsidRPr="00326CC1">
        <w:rPr>
          <w:rFonts w:asciiTheme="minorHAnsi" w:hAnsiTheme="minorHAnsi" w:cstheme="minorHAnsi"/>
          <w:sz w:val="22"/>
          <w:szCs w:val="22"/>
          <w:lang w:val="en-US"/>
        </w:rPr>
        <w:t>P</w:t>
      </w:r>
      <w:proofErr w:type="spellStart"/>
      <w:r w:rsidRPr="00326CC1">
        <w:rPr>
          <w:rFonts w:asciiTheme="minorHAnsi" w:hAnsiTheme="minorHAnsi" w:cstheme="minorHAnsi"/>
          <w:sz w:val="22"/>
          <w:szCs w:val="22"/>
        </w:rPr>
        <w:t>rincipal</w:t>
      </w:r>
      <w:proofErr w:type="spellEnd"/>
      <w:r w:rsidRPr="00326CC1">
        <w:rPr>
          <w:rFonts w:asciiTheme="minorHAnsi" w:hAnsiTheme="minorHAnsi" w:cstheme="minorHAnsi"/>
          <w:sz w:val="22"/>
          <w:szCs w:val="22"/>
        </w:rPr>
        <w:t xml:space="preserve"> </w:t>
      </w:r>
      <w:r w:rsidRPr="00326CC1">
        <w:rPr>
          <w:rFonts w:asciiTheme="minorHAnsi" w:hAnsiTheme="minorHAnsi" w:cstheme="minorHAnsi"/>
          <w:sz w:val="22"/>
          <w:szCs w:val="22"/>
          <w:lang w:val="en-US"/>
        </w:rPr>
        <w:t>Components</w:t>
      </w:r>
      <w:r w:rsidRPr="00326CC1">
        <w:rPr>
          <w:rFonts w:asciiTheme="minorHAnsi" w:hAnsiTheme="minorHAnsi" w:cstheme="minorHAnsi"/>
          <w:sz w:val="22"/>
          <w:szCs w:val="22"/>
        </w:rPr>
        <w:t>), μέθοδος περιστροφής (</w:t>
      </w:r>
      <w:proofErr w:type="spellStart"/>
      <w:r w:rsidRPr="00326CC1">
        <w:rPr>
          <w:rFonts w:asciiTheme="minorHAnsi" w:hAnsiTheme="minorHAnsi" w:cstheme="minorHAnsi"/>
          <w:sz w:val="22"/>
          <w:szCs w:val="22"/>
        </w:rPr>
        <w:t>Rotation</w:t>
      </w:r>
      <w:proofErr w:type="spellEnd"/>
      <w:r w:rsidRPr="00326CC1">
        <w:rPr>
          <w:rFonts w:asciiTheme="minorHAnsi" w:hAnsiTheme="minorHAnsi" w:cstheme="minorHAnsi"/>
          <w:sz w:val="22"/>
          <w:szCs w:val="22"/>
        </w:rPr>
        <w:t>): ορθογώνια περιστροφή μέγιστης διακύμανσης (</w:t>
      </w:r>
      <w:r w:rsidRPr="00326CC1">
        <w:rPr>
          <w:rFonts w:asciiTheme="minorHAnsi" w:hAnsiTheme="minorHAnsi" w:cstheme="minorHAnsi"/>
          <w:sz w:val="22"/>
          <w:szCs w:val="22"/>
          <w:lang w:val="en-US"/>
        </w:rPr>
        <w:t>Varimax</w:t>
      </w:r>
      <w:r w:rsidRPr="00326CC1">
        <w:rPr>
          <w:rFonts w:asciiTheme="minorHAnsi" w:hAnsiTheme="minorHAnsi" w:cstheme="minorHAnsi"/>
          <w:sz w:val="22"/>
          <w:szCs w:val="22"/>
        </w:rPr>
        <w:t xml:space="preserve">) με το κριτήριο </w:t>
      </w:r>
      <w:proofErr w:type="spellStart"/>
      <w:r w:rsidRPr="00326CC1">
        <w:rPr>
          <w:rFonts w:asciiTheme="minorHAnsi" w:hAnsiTheme="minorHAnsi" w:cstheme="minorHAnsi"/>
          <w:sz w:val="22"/>
          <w:szCs w:val="22"/>
        </w:rPr>
        <w:t>Kaiser</w:t>
      </w:r>
      <w:proofErr w:type="spellEnd"/>
      <w:r w:rsidRPr="00326CC1">
        <w:rPr>
          <w:rFonts w:asciiTheme="minorHAnsi" w:hAnsiTheme="minorHAnsi" w:cstheme="minorHAnsi"/>
          <w:sz w:val="22"/>
          <w:szCs w:val="22"/>
        </w:rPr>
        <w:t xml:space="preserve"> και θεωρήθηκαν σημαντικές οι συνιστώσες με τιμή </w:t>
      </w:r>
      <w:proofErr w:type="spellStart"/>
      <w:r w:rsidRPr="00326CC1">
        <w:rPr>
          <w:rFonts w:asciiTheme="minorHAnsi" w:hAnsiTheme="minorHAnsi" w:cstheme="minorHAnsi"/>
          <w:sz w:val="22"/>
          <w:szCs w:val="22"/>
        </w:rPr>
        <w:t>ιδιοτιμής</w:t>
      </w:r>
      <w:proofErr w:type="spellEnd"/>
      <w:r w:rsidRPr="00326CC1">
        <w:rPr>
          <w:rFonts w:asciiTheme="minorHAnsi" w:hAnsiTheme="minorHAnsi" w:cstheme="minorHAnsi"/>
          <w:sz w:val="22"/>
          <w:szCs w:val="22"/>
        </w:rPr>
        <w:t xml:space="preserve"> (</w:t>
      </w:r>
      <w:proofErr w:type="spellStart"/>
      <w:r w:rsidRPr="00326CC1">
        <w:rPr>
          <w:rFonts w:asciiTheme="minorHAnsi" w:hAnsiTheme="minorHAnsi" w:cstheme="minorHAnsi"/>
          <w:sz w:val="22"/>
          <w:szCs w:val="22"/>
        </w:rPr>
        <w:t>eigenvalue</w:t>
      </w:r>
      <w:proofErr w:type="spellEnd"/>
      <w:r w:rsidRPr="00326CC1">
        <w:rPr>
          <w:rFonts w:asciiTheme="minorHAnsi" w:hAnsiTheme="minorHAnsi" w:cstheme="minorHAnsi"/>
          <w:sz w:val="22"/>
          <w:szCs w:val="22"/>
        </w:rPr>
        <w:t xml:space="preserve">) μεγαλύτερη του 1. Ο λόγος </w:t>
      </w:r>
      <w:r w:rsidRPr="00326CC1">
        <w:rPr>
          <w:rFonts w:asciiTheme="minorHAnsi" w:hAnsiTheme="minorHAnsi" w:cstheme="minorHAnsi"/>
          <w:sz w:val="22"/>
          <w:szCs w:val="22"/>
          <w:lang w:val="en-US"/>
        </w:rPr>
        <w:t>Q</w:t>
      </w:r>
      <w:r w:rsidRPr="00326CC1">
        <w:rPr>
          <w:rFonts w:asciiTheme="minorHAnsi" w:hAnsiTheme="minorHAnsi" w:cstheme="minorHAnsi"/>
          <w:sz w:val="22"/>
          <w:szCs w:val="22"/>
        </w:rPr>
        <w:t>/</w:t>
      </w:r>
      <w:r w:rsidRPr="00326CC1">
        <w:rPr>
          <w:rFonts w:asciiTheme="minorHAnsi" w:hAnsiTheme="minorHAnsi" w:cstheme="minorHAnsi"/>
          <w:sz w:val="22"/>
          <w:szCs w:val="22"/>
          <w:lang w:val="en-US"/>
        </w:rPr>
        <w:t>P</w:t>
      </w:r>
      <w:r w:rsidRPr="00326CC1">
        <w:rPr>
          <w:rFonts w:asciiTheme="minorHAnsi" w:hAnsiTheme="minorHAnsi" w:cstheme="minorHAnsi"/>
          <w:sz w:val="22"/>
          <w:szCs w:val="22"/>
        </w:rPr>
        <w:t xml:space="preserve"> είναι ίσος με 3/13 = 0,23 &lt; 0,30. </w:t>
      </w:r>
      <w:r w:rsidR="00C84D43">
        <w:rPr>
          <w:rFonts w:asciiTheme="minorHAnsi" w:eastAsia="Calibri" w:hAnsiTheme="minorHAnsi" w:cstheme="minorHAnsi"/>
          <w:sz w:val="22"/>
          <w:szCs w:val="22"/>
        </w:rPr>
        <w:t xml:space="preserve"> </w:t>
      </w:r>
      <w:r w:rsidRPr="00326CC1">
        <w:rPr>
          <w:rFonts w:asciiTheme="minorHAnsi" w:eastAsia="Calibri" w:hAnsiTheme="minorHAnsi" w:cstheme="minorHAnsi"/>
          <w:sz w:val="22"/>
          <w:szCs w:val="22"/>
        </w:rPr>
        <w:t xml:space="preserve">Η εξαγωγή των συνιστωσών έγινε με τη μέθοδο των κύριων συνιστωσών, μέθοδο περιστροφής: ορθογώνια περιστροφή μέγιστης διακύμανσης με το κριτήριο </w:t>
      </w:r>
      <w:proofErr w:type="spellStart"/>
      <w:r w:rsidRPr="00326CC1">
        <w:rPr>
          <w:rFonts w:asciiTheme="minorHAnsi" w:eastAsia="Calibri" w:hAnsiTheme="minorHAnsi" w:cstheme="minorHAnsi"/>
          <w:sz w:val="22"/>
          <w:szCs w:val="22"/>
        </w:rPr>
        <w:t>Kaiser</w:t>
      </w:r>
      <w:proofErr w:type="spellEnd"/>
      <w:r w:rsidRPr="00326CC1">
        <w:rPr>
          <w:rFonts w:asciiTheme="minorHAnsi" w:eastAsia="Calibri" w:hAnsiTheme="minorHAnsi" w:cstheme="minorHAnsi"/>
          <w:sz w:val="22"/>
          <w:szCs w:val="22"/>
        </w:rPr>
        <w:t xml:space="preserve"> και θεωρήθηκαν σημαντικές οι συνιστώσες με τιμή </w:t>
      </w:r>
      <w:proofErr w:type="spellStart"/>
      <w:r w:rsidRPr="00326CC1">
        <w:rPr>
          <w:rFonts w:asciiTheme="minorHAnsi" w:eastAsia="Calibri" w:hAnsiTheme="minorHAnsi" w:cstheme="minorHAnsi"/>
          <w:sz w:val="22"/>
          <w:szCs w:val="22"/>
        </w:rPr>
        <w:t>ιδιοτιμής</w:t>
      </w:r>
      <w:proofErr w:type="spellEnd"/>
      <w:r w:rsidRPr="00326CC1">
        <w:rPr>
          <w:rFonts w:asciiTheme="minorHAnsi" w:eastAsia="Calibri" w:hAnsiTheme="minorHAnsi" w:cstheme="minorHAnsi"/>
          <w:sz w:val="22"/>
          <w:szCs w:val="22"/>
        </w:rPr>
        <w:t xml:space="preserve"> μεγαλύτερη του 1. Οι 13 προτάσεις της τελικής κλίμακας ομαδοποιήθηκαν σε τρείς συνιστώσες, οι οποίες ερμηνεύουν το 70,098% της συνολικής διακύμανσης.</w:t>
      </w:r>
      <w:r w:rsidR="00C84D43">
        <w:rPr>
          <w:rFonts w:asciiTheme="minorHAnsi" w:eastAsia="Calibri" w:hAnsiTheme="minorHAnsi" w:cstheme="minorHAnsi"/>
          <w:sz w:val="22"/>
          <w:szCs w:val="22"/>
        </w:rPr>
        <w:t xml:space="preserve"> </w:t>
      </w:r>
      <w:r w:rsidRPr="00326CC1">
        <w:rPr>
          <w:rFonts w:asciiTheme="minorHAnsi" w:eastAsia="Calibri" w:hAnsiTheme="minorHAnsi" w:cstheme="minorHAnsi"/>
          <w:sz w:val="22"/>
          <w:szCs w:val="22"/>
        </w:rPr>
        <w:t>Στην πρώτη συνιστώσα φορτίζουν επτά (7) προτάσεις (παραγοντικές φορτίσεις από 0,789 έως 0,942), οι οποίες αναφέρονται στις στάσεις του γενικού πληθυσμού ως προς την ικανότητα των ατόμων με αναπηρία να αλληλοεπιδράσουν με άλλους ανθρώπους σε διαφορετικές καταστάσεις και περιστάσεις και την χαρακτηρίσαμε ως «</w:t>
      </w:r>
      <w:bookmarkStart w:id="1" w:name="_Hlk198120039"/>
      <w:r w:rsidRPr="00326CC1">
        <w:rPr>
          <w:rFonts w:asciiTheme="minorHAnsi" w:eastAsia="Calibri" w:hAnsiTheme="minorHAnsi" w:cstheme="minorHAnsi"/>
          <w:sz w:val="22"/>
          <w:szCs w:val="22"/>
        </w:rPr>
        <w:t>Κοινωνική αλληλεπίδραση</w:t>
      </w:r>
      <w:bookmarkEnd w:id="1"/>
      <w:r w:rsidRPr="00326CC1">
        <w:rPr>
          <w:rFonts w:asciiTheme="minorHAnsi" w:eastAsia="Calibri" w:hAnsiTheme="minorHAnsi" w:cstheme="minorHAnsi"/>
          <w:sz w:val="22"/>
          <w:szCs w:val="22"/>
        </w:rPr>
        <w:t>»</w:t>
      </w:r>
      <w:r w:rsidR="00690C4D">
        <w:rPr>
          <w:rFonts w:asciiTheme="minorHAnsi" w:eastAsia="Calibri" w:hAnsiTheme="minorHAnsi" w:cstheme="minorHAnsi"/>
          <w:sz w:val="22"/>
          <w:szCs w:val="22"/>
        </w:rPr>
        <w:t xml:space="preserve"> </w:t>
      </w:r>
      <w:r w:rsidR="00690C4D" w:rsidRPr="00C26BF6">
        <w:rPr>
          <w:rFonts w:asciiTheme="minorHAnsi" w:eastAsia="Calibri" w:hAnsiTheme="minorHAnsi" w:cstheme="minorHAnsi"/>
          <w:sz w:val="22"/>
          <w:szCs w:val="22"/>
        </w:rPr>
        <w:t>(</w:t>
      </w:r>
      <w:r w:rsidR="00690C4D" w:rsidRPr="00C26BF6">
        <w:rPr>
          <w:rFonts w:asciiTheme="minorHAnsi" w:eastAsia="Calibri" w:hAnsiTheme="minorHAnsi" w:cstheme="minorHAnsi"/>
          <w:bCs/>
          <w:color w:val="000000"/>
          <w:sz w:val="22"/>
          <w:szCs w:val="22"/>
          <w:lang w:eastAsia="el-GR"/>
        </w:rPr>
        <w:t>Μ.Ο. = 1,649, Τ.Α. = 0,916)</w:t>
      </w:r>
      <w:r w:rsidRPr="00C26BF6">
        <w:rPr>
          <w:rFonts w:asciiTheme="minorHAnsi" w:eastAsia="Calibri" w:hAnsiTheme="minorHAnsi" w:cstheme="minorHAnsi"/>
          <w:sz w:val="22"/>
          <w:szCs w:val="22"/>
        </w:rPr>
        <w:t>.</w:t>
      </w:r>
      <w:r w:rsidRPr="00326CC1">
        <w:rPr>
          <w:rFonts w:asciiTheme="minorHAnsi" w:eastAsia="Calibri" w:hAnsiTheme="minorHAnsi" w:cstheme="minorHAnsi"/>
          <w:sz w:val="22"/>
          <w:szCs w:val="22"/>
        </w:rPr>
        <w:t xml:space="preserve"> Η συνιστώσα αυτή ερμηνεύει το 41,872% της συνολικής διακύμανσης.</w:t>
      </w:r>
      <w:r w:rsidR="00C84D43">
        <w:rPr>
          <w:rFonts w:asciiTheme="minorHAnsi" w:eastAsia="Calibri" w:hAnsiTheme="minorHAnsi" w:cstheme="minorHAnsi"/>
          <w:sz w:val="22"/>
          <w:szCs w:val="22"/>
        </w:rPr>
        <w:t xml:space="preserve"> </w:t>
      </w:r>
      <w:r w:rsidRPr="00326CC1">
        <w:rPr>
          <w:rFonts w:asciiTheme="minorHAnsi" w:eastAsia="Calibri" w:hAnsiTheme="minorHAnsi" w:cstheme="minorHAnsi"/>
          <w:sz w:val="22"/>
          <w:szCs w:val="22"/>
        </w:rPr>
        <w:t xml:space="preserve">Στη δεύτερη συνιστώσα φορτίζουν τρείς (3) προτάσεις (παραγοντικές φορτίσεις από 0,632 έως 0,830), οι οποίες αναφέρονται στις αντιλήψεις του γενικού πληθυσμού ως προς την αρνητική αντιμετώπιση και τη μεταχείριση των ατόμων με αναπηρία από τους άλλους ανθρώπους και την χαρακτηρίσαμε ως «Αρνητικές </w:t>
      </w:r>
      <w:r w:rsidRPr="00C26BF6">
        <w:rPr>
          <w:rFonts w:asciiTheme="minorHAnsi" w:eastAsia="Calibri" w:hAnsiTheme="minorHAnsi" w:cstheme="minorHAnsi"/>
          <w:sz w:val="22"/>
          <w:szCs w:val="22"/>
        </w:rPr>
        <w:t>στάσεις»</w:t>
      </w:r>
      <w:r w:rsidR="00C26BF6" w:rsidRPr="00C26BF6">
        <w:rPr>
          <w:rFonts w:asciiTheme="minorHAnsi" w:eastAsia="Calibri" w:hAnsiTheme="minorHAnsi" w:cstheme="minorHAnsi"/>
          <w:sz w:val="22"/>
          <w:szCs w:val="22"/>
        </w:rPr>
        <w:t xml:space="preserve"> (</w:t>
      </w:r>
      <w:r w:rsidR="00C26BF6" w:rsidRPr="00C26BF6">
        <w:rPr>
          <w:rFonts w:asciiTheme="minorHAnsi" w:eastAsia="Calibri" w:hAnsiTheme="minorHAnsi" w:cstheme="minorHAnsi"/>
          <w:bCs/>
          <w:color w:val="000000"/>
          <w:sz w:val="22"/>
          <w:szCs w:val="22"/>
          <w:lang w:eastAsia="el-GR"/>
        </w:rPr>
        <w:t>Μ.Ο. = 2,642, Τ.Α. = 0,818</w:t>
      </w:r>
      <w:r w:rsidR="00C26BF6" w:rsidRPr="00C26BF6">
        <w:rPr>
          <w:rFonts w:asciiTheme="minorHAnsi" w:eastAsia="Calibri" w:hAnsiTheme="minorHAnsi" w:cstheme="minorHAnsi"/>
          <w:sz w:val="22"/>
          <w:szCs w:val="22"/>
        </w:rPr>
        <w:t>)</w:t>
      </w:r>
      <w:r w:rsidRPr="00C26BF6">
        <w:rPr>
          <w:rFonts w:asciiTheme="minorHAnsi" w:eastAsia="Calibri" w:hAnsiTheme="minorHAnsi" w:cstheme="minorHAnsi"/>
          <w:sz w:val="22"/>
          <w:szCs w:val="22"/>
        </w:rPr>
        <w:t>. Η συνιστώσα</w:t>
      </w:r>
      <w:r w:rsidRPr="00326CC1">
        <w:rPr>
          <w:rFonts w:asciiTheme="minorHAnsi" w:eastAsia="Calibri" w:hAnsiTheme="minorHAnsi" w:cstheme="minorHAnsi"/>
          <w:sz w:val="22"/>
          <w:szCs w:val="22"/>
        </w:rPr>
        <w:t xml:space="preserve"> αυτή ερμηνεύει επιπλέον 18,343% της συνολικής διακύμανσης.</w:t>
      </w:r>
      <w:r w:rsidR="00C84D43">
        <w:rPr>
          <w:rFonts w:asciiTheme="minorHAnsi" w:eastAsia="Calibri" w:hAnsiTheme="minorHAnsi" w:cstheme="minorHAnsi"/>
          <w:sz w:val="22"/>
          <w:szCs w:val="22"/>
        </w:rPr>
        <w:t xml:space="preserve"> </w:t>
      </w:r>
      <w:r w:rsidRPr="00326CC1">
        <w:rPr>
          <w:rFonts w:asciiTheme="minorHAnsi" w:eastAsia="Calibri" w:hAnsiTheme="minorHAnsi" w:cstheme="minorHAnsi"/>
          <w:sz w:val="22"/>
          <w:szCs w:val="22"/>
        </w:rPr>
        <w:t>Στην τρίτη συνιστώσα φορτίζουν τρείς (3) προτάσεις (παραγοντικές φορτίσεις από 0,667 έως 0,781), οι οποίες αναφέρονται στις στάσεις του γενικού πληθυσμού ως προς τις δυσκολίες που αντιμετωπίζουν τα άτομα με αναπηρία στις κοινωνικές τους επαφές και στην προσπάθεια ένταξής τους στο κοινωνικό περιβάλλον και την χαρακτηρίσαμε ως «</w:t>
      </w:r>
      <w:bookmarkStart w:id="2" w:name="_Hlk198122465"/>
      <w:r w:rsidRPr="00326CC1">
        <w:rPr>
          <w:rFonts w:asciiTheme="minorHAnsi" w:eastAsia="Calibri" w:hAnsiTheme="minorHAnsi" w:cstheme="minorHAnsi"/>
          <w:sz w:val="22"/>
          <w:szCs w:val="22"/>
        </w:rPr>
        <w:t>Κοινωνική ένταξη</w:t>
      </w:r>
      <w:bookmarkEnd w:id="2"/>
      <w:r w:rsidRPr="00326CC1">
        <w:rPr>
          <w:rFonts w:asciiTheme="minorHAnsi" w:eastAsia="Calibri" w:hAnsiTheme="minorHAnsi" w:cstheme="minorHAnsi"/>
          <w:sz w:val="22"/>
          <w:szCs w:val="22"/>
        </w:rPr>
        <w:t>»</w:t>
      </w:r>
      <w:r w:rsidR="00C26BF6">
        <w:rPr>
          <w:rFonts w:asciiTheme="minorHAnsi" w:eastAsia="Calibri" w:hAnsiTheme="minorHAnsi" w:cstheme="minorHAnsi"/>
          <w:sz w:val="22"/>
          <w:szCs w:val="22"/>
        </w:rPr>
        <w:t xml:space="preserve"> (</w:t>
      </w:r>
      <w:r w:rsidR="00C26BF6" w:rsidRPr="0020270B">
        <w:rPr>
          <w:rFonts w:asciiTheme="minorHAnsi" w:eastAsia="Calibri" w:hAnsiTheme="minorHAnsi" w:cstheme="minorHAnsi"/>
          <w:bCs/>
          <w:color w:val="000000"/>
          <w:sz w:val="22"/>
          <w:szCs w:val="22"/>
          <w:lang w:eastAsia="el-GR"/>
        </w:rPr>
        <w:t>Μ</w:t>
      </w:r>
      <w:r w:rsidR="00C26BF6" w:rsidRPr="00680BFD">
        <w:rPr>
          <w:rFonts w:asciiTheme="minorHAnsi" w:eastAsia="Calibri" w:hAnsiTheme="minorHAnsi" w:cstheme="minorHAnsi"/>
          <w:bCs/>
          <w:color w:val="000000"/>
          <w:sz w:val="22"/>
          <w:szCs w:val="22"/>
          <w:lang w:eastAsia="el-GR"/>
        </w:rPr>
        <w:t>.</w:t>
      </w:r>
      <w:r w:rsidR="00C26BF6" w:rsidRPr="0020270B">
        <w:rPr>
          <w:rFonts w:asciiTheme="minorHAnsi" w:eastAsia="Calibri" w:hAnsiTheme="minorHAnsi" w:cstheme="minorHAnsi"/>
          <w:bCs/>
          <w:color w:val="000000"/>
          <w:sz w:val="22"/>
          <w:szCs w:val="22"/>
          <w:lang w:eastAsia="el-GR"/>
        </w:rPr>
        <w:t>Ο</w:t>
      </w:r>
      <w:r w:rsidR="00C26BF6" w:rsidRPr="00680BFD">
        <w:rPr>
          <w:rFonts w:asciiTheme="minorHAnsi" w:eastAsia="Calibri" w:hAnsiTheme="minorHAnsi" w:cstheme="minorHAnsi"/>
          <w:bCs/>
          <w:color w:val="000000"/>
          <w:sz w:val="22"/>
          <w:szCs w:val="22"/>
          <w:lang w:eastAsia="el-GR"/>
        </w:rPr>
        <w:t xml:space="preserve">. = 2,693, </w:t>
      </w:r>
      <w:r w:rsidR="00C26BF6" w:rsidRPr="0020270B">
        <w:rPr>
          <w:rFonts w:asciiTheme="minorHAnsi" w:eastAsia="Calibri" w:hAnsiTheme="minorHAnsi" w:cstheme="minorHAnsi"/>
          <w:bCs/>
          <w:color w:val="000000"/>
          <w:sz w:val="22"/>
          <w:szCs w:val="22"/>
          <w:lang w:eastAsia="el-GR"/>
        </w:rPr>
        <w:t>Τ</w:t>
      </w:r>
      <w:r w:rsidR="00C26BF6" w:rsidRPr="00680BFD">
        <w:rPr>
          <w:rFonts w:asciiTheme="minorHAnsi" w:eastAsia="Calibri" w:hAnsiTheme="minorHAnsi" w:cstheme="minorHAnsi"/>
          <w:bCs/>
          <w:color w:val="000000"/>
          <w:sz w:val="22"/>
          <w:szCs w:val="22"/>
          <w:lang w:eastAsia="el-GR"/>
        </w:rPr>
        <w:t>.</w:t>
      </w:r>
      <w:r w:rsidR="00C26BF6" w:rsidRPr="0020270B">
        <w:rPr>
          <w:rFonts w:asciiTheme="minorHAnsi" w:eastAsia="Calibri" w:hAnsiTheme="minorHAnsi" w:cstheme="minorHAnsi"/>
          <w:bCs/>
          <w:color w:val="000000"/>
          <w:sz w:val="22"/>
          <w:szCs w:val="22"/>
          <w:lang w:eastAsia="el-GR"/>
        </w:rPr>
        <w:t>Α</w:t>
      </w:r>
      <w:r w:rsidR="00C26BF6" w:rsidRPr="00680BFD">
        <w:rPr>
          <w:rFonts w:asciiTheme="minorHAnsi" w:eastAsia="Calibri" w:hAnsiTheme="minorHAnsi" w:cstheme="minorHAnsi"/>
          <w:bCs/>
          <w:color w:val="000000"/>
          <w:sz w:val="22"/>
          <w:szCs w:val="22"/>
          <w:lang w:eastAsia="el-GR"/>
        </w:rPr>
        <w:t>. = 0,851</w:t>
      </w:r>
      <w:r w:rsidR="00C26BF6">
        <w:rPr>
          <w:rFonts w:asciiTheme="minorHAnsi" w:eastAsia="Calibri" w:hAnsiTheme="minorHAnsi" w:cstheme="minorHAnsi"/>
          <w:bCs/>
          <w:color w:val="000000"/>
          <w:sz w:val="22"/>
          <w:szCs w:val="22"/>
          <w:lang w:eastAsia="el-GR"/>
        </w:rPr>
        <w:t>)</w:t>
      </w:r>
      <w:r w:rsidRPr="00326CC1">
        <w:rPr>
          <w:rFonts w:asciiTheme="minorHAnsi" w:eastAsia="Calibri" w:hAnsiTheme="minorHAnsi" w:cstheme="minorHAnsi"/>
          <w:sz w:val="22"/>
          <w:szCs w:val="22"/>
        </w:rPr>
        <w:t>. Η συνιστώσα αυτή ερμηνεύει επιπλέον 9,883</w:t>
      </w:r>
      <w:r w:rsidRPr="006B66C7">
        <w:rPr>
          <w:rFonts w:asciiTheme="minorHAnsi" w:eastAsia="Calibri" w:hAnsiTheme="minorHAnsi" w:cstheme="minorHAnsi"/>
          <w:sz w:val="22"/>
          <w:szCs w:val="22"/>
        </w:rPr>
        <w:t>% της συνολικής διακύμανσης</w:t>
      </w:r>
      <w:r w:rsidR="00C26BF6">
        <w:rPr>
          <w:rFonts w:asciiTheme="minorHAnsi" w:eastAsia="Calibri" w:hAnsiTheme="minorHAnsi" w:cstheme="minorHAnsi"/>
          <w:sz w:val="22"/>
          <w:szCs w:val="22"/>
        </w:rPr>
        <w:t>.</w:t>
      </w:r>
      <w:r w:rsidRPr="006B66C7">
        <w:rPr>
          <w:rFonts w:asciiTheme="minorHAnsi" w:eastAsia="Calibri" w:hAnsiTheme="minorHAnsi" w:cstheme="minorHAnsi"/>
          <w:sz w:val="22"/>
          <w:szCs w:val="22"/>
        </w:rPr>
        <w:t xml:space="preserve"> </w:t>
      </w:r>
    </w:p>
    <w:p w14:paraId="3090B2E2" w14:textId="77777777" w:rsidR="00326CC1" w:rsidRPr="00326CC1" w:rsidRDefault="00326CC1" w:rsidP="000F192F">
      <w:pPr>
        <w:spacing w:before="240"/>
        <w:ind w:firstLine="284"/>
        <w:jc w:val="both"/>
        <w:rPr>
          <w:rFonts w:asciiTheme="minorHAnsi" w:eastAsia="Calibri" w:hAnsiTheme="minorHAnsi" w:cstheme="minorHAnsi"/>
          <w:sz w:val="22"/>
          <w:szCs w:val="22"/>
        </w:rPr>
      </w:pPr>
      <w:r w:rsidRPr="00326CC1">
        <w:rPr>
          <w:rFonts w:asciiTheme="minorHAnsi" w:hAnsiTheme="minorHAnsi" w:cstheme="minorHAnsi"/>
          <w:bCs/>
          <w:i/>
          <w:iCs/>
          <w:sz w:val="22"/>
          <w:szCs w:val="22"/>
        </w:rPr>
        <w:t>Β. Παράλληλη ανάλυση (</w:t>
      </w:r>
      <w:proofErr w:type="spellStart"/>
      <w:r w:rsidRPr="00326CC1">
        <w:rPr>
          <w:rFonts w:asciiTheme="minorHAnsi" w:hAnsiTheme="minorHAnsi" w:cstheme="minorHAnsi"/>
          <w:bCs/>
          <w:i/>
          <w:iCs/>
          <w:sz w:val="22"/>
          <w:szCs w:val="22"/>
        </w:rPr>
        <w:t>parallel</w:t>
      </w:r>
      <w:proofErr w:type="spellEnd"/>
      <w:r w:rsidRPr="00326CC1">
        <w:rPr>
          <w:rFonts w:asciiTheme="minorHAnsi" w:hAnsiTheme="minorHAnsi" w:cstheme="minorHAnsi"/>
          <w:bCs/>
          <w:i/>
          <w:iCs/>
          <w:sz w:val="22"/>
          <w:szCs w:val="22"/>
        </w:rPr>
        <w:t xml:space="preserve"> </w:t>
      </w:r>
      <w:proofErr w:type="spellStart"/>
      <w:r w:rsidRPr="00326CC1">
        <w:rPr>
          <w:rFonts w:asciiTheme="minorHAnsi" w:hAnsiTheme="minorHAnsi" w:cstheme="minorHAnsi"/>
          <w:bCs/>
          <w:i/>
          <w:iCs/>
          <w:sz w:val="22"/>
          <w:szCs w:val="22"/>
        </w:rPr>
        <w:t>analysis</w:t>
      </w:r>
      <w:proofErr w:type="spellEnd"/>
      <w:r w:rsidRPr="00326CC1">
        <w:rPr>
          <w:rFonts w:asciiTheme="minorHAnsi" w:hAnsiTheme="minorHAnsi" w:cstheme="minorHAnsi"/>
          <w:bCs/>
          <w:i/>
          <w:iCs/>
          <w:sz w:val="22"/>
          <w:szCs w:val="22"/>
        </w:rPr>
        <w:t>)</w:t>
      </w:r>
    </w:p>
    <w:p w14:paraId="3A2B4DB6" w14:textId="430E8470" w:rsidR="00326CC1" w:rsidRPr="00326CC1" w:rsidRDefault="00326CC1" w:rsidP="005D63A7">
      <w:pPr>
        <w:ind w:firstLine="284"/>
        <w:jc w:val="both"/>
        <w:rPr>
          <w:rFonts w:asciiTheme="minorHAnsi" w:eastAsia="Calibri" w:hAnsiTheme="minorHAnsi" w:cstheme="minorHAnsi"/>
          <w:sz w:val="22"/>
          <w:szCs w:val="22"/>
        </w:rPr>
      </w:pPr>
      <w:r w:rsidRPr="00326CC1">
        <w:rPr>
          <w:rFonts w:asciiTheme="minorHAnsi" w:eastAsia="Calibri" w:hAnsiTheme="minorHAnsi" w:cstheme="minorHAnsi"/>
          <w:sz w:val="22"/>
          <w:szCs w:val="22"/>
        </w:rPr>
        <w:t>Επιπλέον, χρησιμοποιήθηκε η μέθοδος της παράλληλης ανάλυσης (</w:t>
      </w:r>
      <w:proofErr w:type="spellStart"/>
      <w:r w:rsidRPr="00326CC1">
        <w:rPr>
          <w:rFonts w:asciiTheme="minorHAnsi" w:eastAsia="Calibri" w:hAnsiTheme="minorHAnsi" w:cstheme="minorHAnsi"/>
          <w:sz w:val="22"/>
          <w:szCs w:val="22"/>
        </w:rPr>
        <w:t>parallel</w:t>
      </w:r>
      <w:proofErr w:type="spellEnd"/>
      <w:r w:rsidRPr="00326CC1">
        <w:rPr>
          <w:rFonts w:asciiTheme="minorHAnsi" w:eastAsia="Calibri" w:hAnsiTheme="minorHAnsi" w:cstheme="minorHAnsi"/>
          <w:sz w:val="22"/>
          <w:szCs w:val="22"/>
        </w:rPr>
        <w:t xml:space="preserve"> </w:t>
      </w:r>
      <w:proofErr w:type="spellStart"/>
      <w:r w:rsidRPr="00326CC1">
        <w:rPr>
          <w:rFonts w:asciiTheme="minorHAnsi" w:eastAsia="Calibri" w:hAnsiTheme="minorHAnsi" w:cstheme="minorHAnsi"/>
          <w:sz w:val="22"/>
          <w:szCs w:val="22"/>
        </w:rPr>
        <w:t>analysis</w:t>
      </w:r>
      <w:proofErr w:type="spellEnd"/>
      <w:r w:rsidRPr="00326CC1">
        <w:rPr>
          <w:rFonts w:asciiTheme="minorHAnsi" w:eastAsia="Calibri" w:hAnsiTheme="minorHAnsi" w:cstheme="minorHAnsi"/>
          <w:sz w:val="22"/>
          <w:szCs w:val="22"/>
        </w:rPr>
        <w:t xml:space="preserve">) με την οποία ελέγχεται πόσοι από τους πρώτους στην τάξη παράγοντες διαφέρουν σημαντικά </w:t>
      </w:r>
      <w:r w:rsidRPr="00326CC1">
        <w:rPr>
          <w:rFonts w:asciiTheme="minorHAnsi" w:eastAsia="Calibri" w:hAnsiTheme="minorHAnsi" w:cstheme="minorHAnsi"/>
          <w:sz w:val="22"/>
          <w:szCs w:val="22"/>
        </w:rPr>
        <w:lastRenderedPageBreak/>
        <w:t>από αυτούς που θα προκύπταν “στην τύχη” από δεδομένα ίδιων διαστάσεων στα οποία όμως οι συσχετίσεις μεταξύ των μεταβλητών είναι 0 (</w:t>
      </w:r>
      <w:proofErr w:type="spellStart"/>
      <w:r w:rsidRPr="00326CC1">
        <w:rPr>
          <w:rFonts w:asciiTheme="minorHAnsi" w:eastAsia="Calibri" w:hAnsiTheme="minorHAnsi" w:cstheme="minorHAnsi"/>
          <w:sz w:val="22"/>
          <w:szCs w:val="22"/>
        </w:rPr>
        <w:t>O'Connor</w:t>
      </w:r>
      <w:proofErr w:type="spellEnd"/>
      <w:r w:rsidRPr="00326CC1">
        <w:rPr>
          <w:rFonts w:asciiTheme="minorHAnsi" w:eastAsia="Calibri" w:hAnsiTheme="minorHAnsi" w:cstheme="minorHAnsi"/>
          <w:sz w:val="22"/>
          <w:szCs w:val="22"/>
        </w:rPr>
        <w:t>, 2000). Τελικά, η παράλληλη ανάλυση (</w:t>
      </w:r>
      <w:proofErr w:type="spellStart"/>
      <w:r w:rsidRPr="00326CC1">
        <w:rPr>
          <w:rFonts w:asciiTheme="minorHAnsi" w:eastAsia="Calibri" w:hAnsiTheme="minorHAnsi" w:cstheme="minorHAnsi"/>
          <w:sz w:val="22"/>
          <w:szCs w:val="22"/>
        </w:rPr>
        <w:t>parallel</w:t>
      </w:r>
      <w:proofErr w:type="spellEnd"/>
      <w:r w:rsidRPr="00326CC1">
        <w:rPr>
          <w:rFonts w:asciiTheme="minorHAnsi" w:eastAsia="Calibri" w:hAnsiTheme="minorHAnsi" w:cstheme="minorHAnsi"/>
          <w:sz w:val="22"/>
          <w:szCs w:val="22"/>
        </w:rPr>
        <w:t xml:space="preserve"> </w:t>
      </w:r>
      <w:proofErr w:type="spellStart"/>
      <w:r w:rsidRPr="00326CC1">
        <w:rPr>
          <w:rFonts w:asciiTheme="minorHAnsi" w:eastAsia="Calibri" w:hAnsiTheme="minorHAnsi" w:cstheme="minorHAnsi"/>
          <w:sz w:val="22"/>
          <w:szCs w:val="22"/>
        </w:rPr>
        <w:t>analysis</w:t>
      </w:r>
      <w:proofErr w:type="spellEnd"/>
      <w:r w:rsidRPr="00326CC1">
        <w:rPr>
          <w:rFonts w:asciiTheme="minorHAnsi" w:eastAsia="Calibri" w:hAnsiTheme="minorHAnsi" w:cstheme="minorHAnsi"/>
          <w:sz w:val="22"/>
          <w:szCs w:val="22"/>
        </w:rPr>
        <w:t xml:space="preserve">) </w:t>
      </w:r>
      <w:proofErr w:type="spellStart"/>
      <w:r w:rsidRPr="00326CC1">
        <w:rPr>
          <w:rFonts w:asciiTheme="minorHAnsi" w:eastAsia="Calibri" w:hAnsiTheme="minorHAnsi" w:cstheme="minorHAnsi"/>
          <w:sz w:val="22"/>
          <w:szCs w:val="22"/>
        </w:rPr>
        <w:t>καταδυκνείει</w:t>
      </w:r>
      <w:proofErr w:type="spellEnd"/>
      <w:r w:rsidRPr="00326CC1">
        <w:rPr>
          <w:rFonts w:asciiTheme="minorHAnsi" w:eastAsia="Calibri" w:hAnsiTheme="minorHAnsi" w:cstheme="minorHAnsi"/>
          <w:sz w:val="22"/>
          <w:szCs w:val="22"/>
        </w:rPr>
        <w:t xml:space="preserve"> την επιλογή των τριών συνιστωσών</w:t>
      </w:r>
      <w:r w:rsidR="00E91AED">
        <w:rPr>
          <w:rFonts w:asciiTheme="minorHAnsi" w:eastAsia="Calibri" w:hAnsiTheme="minorHAnsi" w:cstheme="minorHAnsi"/>
          <w:sz w:val="22"/>
          <w:szCs w:val="22"/>
        </w:rPr>
        <w:t xml:space="preserve"> (</w:t>
      </w:r>
      <w:r w:rsidR="00C26BF6">
        <w:rPr>
          <w:rFonts w:asciiTheme="minorHAnsi" w:eastAsia="Calibri" w:hAnsiTheme="minorHAnsi" w:cstheme="minorHAnsi"/>
          <w:sz w:val="22"/>
          <w:szCs w:val="22"/>
        </w:rPr>
        <w:t>Πίνακας 1).</w:t>
      </w:r>
    </w:p>
    <w:p w14:paraId="10FF0E96" w14:textId="77777777" w:rsidR="00E91AED" w:rsidRPr="00E91AED" w:rsidRDefault="00E91AED" w:rsidP="00E91AED">
      <w:pPr>
        <w:autoSpaceDE w:val="0"/>
        <w:autoSpaceDN w:val="0"/>
        <w:adjustRightInd w:val="0"/>
        <w:rPr>
          <w:color w:val="000000"/>
          <w:sz w:val="24"/>
        </w:rPr>
      </w:pPr>
    </w:p>
    <w:p w14:paraId="121301CC" w14:textId="0CBB886C" w:rsidR="00E91AED" w:rsidRPr="00E91AED" w:rsidRDefault="00E91AED" w:rsidP="005D63A7">
      <w:pPr>
        <w:pBdr>
          <w:top w:val="single" w:sz="4" w:space="1" w:color="auto"/>
        </w:pBdr>
        <w:autoSpaceDE w:val="0"/>
        <w:autoSpaceDN w:val="0"/>
        <w:adjustRightInd w:val="0"/>
        <w:rPr>
          <w:rFonts w:asciiTheme="minorHAnsi" w:hAnsiTheme="minorHAnsi" w:cstheme="minorHAnsi"/>
          <w:color w:val="000000"/>
          <w:sz w:val="22"/>
          <w:szCs w:val="22"/>
          <w:lang w:val="en-US" w:eastAsia="en-US"/>
        </w:rPr>
      </w:pPr>
      <w:r w:rsidRPr="00E91AED">
        <w:rPr>
          <w:rFonts w:asciiTheme="minorHAnsi" w:hAnsiTheme="minorHAnsi" w:cstheme="minorHAnsi"/>
          <w:color w:val="000000"/>
          <w:sz w:val="22"/>
          <w:szCs w:val="22"/>
          <w:lang w:val="en-US"/>
        </w:rPr>
        <w:t>Run MATRIX procedure:</w:t>
      </w:r>
      <w:r w:rsidR="00CE46EA" w:rsidRPr="00CE46EA">
        <w:rPr>
          <w:rFonts w:asciiTheme="minorHAnsi" w:hAnsiTheme="minorHAnsi" w:cstheme="minorHAnsi"/>
          <w:color w:val="000000"/>
          <w:sz w:val="22"/>
          <w:szCs w:val="22"/>
          <w:lang w:val="en-US" w:eastAsia="en-US"/>
        </w:rPr>
        <w:t xml:space="preserve"> </w:t>
      </w:r>
      <w:r w:rsidRPr="00E91AED">
        <w:rPr>
          <w:rFonts w:asciiTheme="minorHAnsi" w:hAnsiTheme="minorHAnsi" w:cstheme="minorHAnsi"/>
          <w:color w:val="000000"/>
          <w:sz w:val="22"/>
          <w:szCs w:val="22"/>
          <w:lang w:val="en-US"/>
        </w:rPr>
        <w:t>PARALLEL ANALYSIS:</w:t>
      </w:r>
      <w:r w:rsidR="00CE46EA" w:rsidRPr="00CE46EA">
        <w:rPr>
          <w:rFonts w:asciiTheme="minorHAnsi" w:hAnsiTheme="minorHAnsi" w:cstheme="minorHAnsi"/>
          <w:color w:val="000000"/>
          <w:sz w:val="22"/>
          <w:szCs w:val="22"/>
          <w:lang w:val="en-US" w:eastAsia="en-US"/>
        </w:rPr>
        <w:t xml:space="preserve"> </w:t>
      </w:r>
      <w:r w:rsidRPr="00E91AED">
        <w:rPr>
          <w:rFonts w:asciiTheme="minorHAnsi" w:hAnsiTheme="minorHAnsi" w:cstheme="minorHAnsi"/>
          <w:color w:val="000000"/>
          <w:sz w:val="22"/>
          <w:szCs w:val="22"/>
          <w:lang w:val="en-US"/>
        </w:rPr>
        <w:t>Principal Components &amp; Random Normal Data Generation</w:t>
      </w:r>
      <w:r w:rsidR="005D63A7">
        <w:rPr>
          <w:rFonts w:asciiTheme="minorHAnsi" w:hAnsiTheme="minorHAnsi" w:cstheme="minorHAnsi"/>
          <w:color w:val="000000"/>
          <w:sz w:val="22"/>
          <w:szCs w:val="22"/>
          <w:lang w:val="en-US" w:eastAsia="en-US"/>
        </w:rPr>
        <w:t xml:space="preserve">.  </w:t>
      </w:r>
      <w:r w:rsidRPr="00E91AED">
        <w:rPr>
          <w:rFonts w:asciiTheme="minorHAnsi" w:hAnsiTheme="minorHAnsi" w:cstheme="minorHAnsi"/>
          <w:color w:val="000000"/>
          <w:sz w:val="22"/>
          <w:szCs w:val="22"/>
          <w:lang w:val="en-US"/>
        </w:rPr>
        <w:t>Specifications for this Run:</w:t>
      </w:r>
    </w:p>
    <w:p w14:paraId="7E38B64A" w14:textId="77777777" w:rsidR="00E91AED" w:rsidRPr="00E91AED" w:rsidRDefault="00E91AED" w:rsidP="005D63A7">
      <w:pPr>
        <w:pBdr>
          <w:top w:val="single" w:sz="4" w:space="1" w:color="auto"/>
          <w:bottom w:val="single" w:sz="4" w:space="1" w:color="auto"/>
        </w:pBdr>
        <w:autoSpaceDE w:val="0"/>
        <w:autoSpaceDN w:val="0"/>
        <w:adjustRightInd w:val="0"/>
        <w:rPr>
          <w:rFonts w:asciiTheme="minorHAnsi" w:hAnsiTheme="minorHAnsi" w:cstheme="minorHAnsi"/>
          <w:color w:val="000000"/>
          <w:sz w:val="22"/>
          <w:szCs w:val="22"/>
          <w:lang w:val="en-US"/>
        </w:rPr>
      </w:pPr>
      <w:proofErr w:type="spellStart"/>
      <w:r w:rsidRPr="00E91AED">
        <w:rPr>
          <w:rFonts w:asciiTheme="minorHAnsi" w:hAnsiTheme="minorHAnsi" w:cstheme="minorHAnsi"/>
          <w:color w:val="000000"/>
          <w:sz w:val="22"/>
          <w:szCs w:val="22"/>
          <w:lang w:val="en-US"/>
        </w:rPr>
        <w:t>Ncases</w:t>
      </w:r>
      <w:proofErr w:type="spellEnd"/>
      <w:r w:rsidRPr="00E91AED">
        <w:rPr>
          <w:rFonts w:asciiTheme="minorHAnsi" w:hAnsiTheme="minorHAnsi" w:cstheme="minorHAnsi"/>
          <w:color w:val="000000"/>
          <w:sz w:val="22"/>
          <w:szCs w:val="22"/>
          <w:lang w:val="en-US"/>
        </w:rPr>
        <w:t xml:space="preserve">     244</w:t>
      </w:r>
    </w:p>
    <w:p w14:paraId="60B62426" w14:textId="77777777" w:rsidR="00E91AED" w:rsidRPr="00E91AED" w:rsidRDefault="00E91AED" w:rsidP="005D63A7">
      <w:pPr>
        <w:pBdr>
          <w:top w:val="single" w:sz="4" w:space="1" w:color="auto"/>
          <w:bottom w:val="single" w:sz="4" w:space="1" w:color="auto"/>
        </w:pBdr>
        <w:autoSpaceDE w:val="0"/>
        <w:autoSpaceDN w:val="0"/>
        <w:adjustRightInd w:val="0"/>
        <w:rPr>
          <w:rFonts w:asciiTheme="minorHAnsi" w:hAnsiTheme="minorHAnsi" w:cstheme="minorHAnsi"/>
          <w:color w:val="000000"/>
          <w:sz w:val="22"/>
          <w:szCs w:val="22"/>
          <w:lang w:val="en-US"/>
        </w:rPr>
      </w:pPr>
      <w:proofErr w:type="spellStart"/>
      <w:r w:rsidRPr="00E91AED">
        <w:rPr>
          <w:rFonts w:asciiTheme="minorHAnsi" w:hAnsiTheme="minorHAnsi" w:cstheme="minorHAnsi"/>
          <w:color w:val="000000"/>
          <w:sz w:val="22"/>
          <w:szCs w:val="22"/>
          <w:lang w:val="en-US"/>
        </w:rPr>
        <w:t>Nvars</w:t>
      </w:r>
      <w:proofErr w:type="spellEnd"/>
      <w:r w:rsidRPr="00E91AED">
        <w:rPr>
          <w:rFonts w:asciiTheme="minorHAnsi" w:hAnsiTheme="minorHAnsi" w:cstheme="minorHAnsi"/>
          <w:color w:val="000000"/>
          <w:sz w:val="22"/>
          <w:szCs w:val="22"/>
          <w:lang w:val="en-US"/>
        </w:rPr>
        <w:t xml:space="preserve">       13</w:t>
      </w:r>
    </w:p>
    <w:p w14:paraId="4695BBF7" w14:textId="77777777" w:rsidR="00E91AED" w:rsidRPr="00E91AED" w:rsidRDefault="00E91AED" w:rsidP="005D63A7">
      <w:pPr>
        <w:pBdr>
          <w:top w:val="single" w:sz="4" w:space="1" w:color="auto"/>
          <w:bottom w:val="single" w:sz="4" w:space="1" w:color="auto"/>
        </w:pBdr>
        <w:autoSpaceDE w:val="0"/>
        <w:autoSpaceDN w:val="0"/>
        <w:adjustRightInd w:val="0"/>
        <w:rPr>
          <w:rFonts w:asciiTheme="minorHAnsi" w:hAnsiTheme="minorHAnsi" w:cstheme="minorHAnsi"/>
          <w:color w:val="000000"/>
          <w:sz w:val="22"/>
          <w:szCs w:val="22"/>
          <w:lang w:val="en-US"/>
        </w:rPr>
      </w:pPr>
      <w:proofErr w:type="spellStart"/>
      <w:r w:rsidRPr="00E91AED">
        <w:rPr>
          <w:rFonts w:asciiTheme="minorHAnsi" w:hAnsiTheme="minorHAnsi" w:cstheme="minorHAnsi"/>
          <w:color w:val="000000"/>
          <w:sz w:val="22"/>
          <w:szCs w:val="22"/>
          <w:lang w:val="en-US"/>
        </w:rPr>
        <w:t>Ndatsets</w:t>
      </w:r>
      <w:proofErr w:type="spellEnd"/>
      <w:r w:rsidRPr="00E91AED">
        <w:rPr>
          <w:rFonts w:asciiTheme="minorHAnsi" w:hAnsiTheme="minorHAnsi" w:cstheme="minorHAnsi"/>
          <w:color w:val="000000"/>
          <w:sz w:val="22"/>
          <w:szCs w:val="22"/>
          <w:lang w:val="en-US"/>
        </w:rPr>
        <w:t xml:space="preserve">  1000</w:t>
      </w:r>
    </w:p>
    <w:p w14:paraId="7958DDBA" w14:textId="77777777" w:rsidR="00E91AED" w:rsidRPr="00E91AED" w:rsidRDefault="00E91AED" w:rsidP="005D63A7">
      <w:pPr>
        <w:pBdr>
          <w:top w:val="single" w:sz="4" w:space="1" w:color="auto"/>
          <w:bottom w:val="single" w:sz="4" w:space="1" w:color="auto"/>
        </w:pBdr>
        <w:autoSpaceDE w:val="0"/>
        <w:autoSpaceDN w:val="0"/>
        <w:adjustRightInd w:val="0"/>
        <w:rPr>
          <w:rFonts w:asciiTheme="minorHAnsi" w:hAnsiTheme="minorHAnsi" w:cstheme="minorHAnsi"/>
          <w:color w:val="000000"/>
          <w:sz w:val="22"/>
          <w:szCs w:val="22"/>
          <w:lang w:val="en-US"/>
        </w:rPr>
      </w:pPr>
      <w:r w:rsidRPr="00E91AED">
        <w:rPr>
          <w:rFonts w:asciiTheme="minorHAnsi" w:hAnsiTheme="minorHAnsi" w:cstheme="minorHAnsi"/>
          <w:color w:val="000000"/>
          <w:sz w:val="22"/>
          <w:szCs w:val="22"/>
          <w:lang w:val="en-US"/>
        </w:rPr>
        <w:t>Percent     95</w:t>
      </w:r>
    </w:p>
    <w:p w14:paraId="613F1118" w14:textId="77777777" w:rsidR="00E91AED" w:rsidRPr="00E91AED" w:rsidRDefault="00E91AED" w:rsidP="00690C4D">
      <w:pPr>
        <w:pBdr>
          <w:bottom w:val="single" w:sz="4" w:space="1" w:color="auto"/>
        </w:pBdr>
        <w:autoSpaceDE w:val="0"/>
        <w:autoSpaceDN w:val="0"/>
        <w:adjustRightInd w:val="0"/>
        <w:rPr>
          <w:rFonts w:asciiTheme="minorHAnsi" w:hAnsiTheme="minorHAnsi" w:cstheme="minorHAnsi"/>
          <w:color w:val="000000"/>
          <w:sz w:val="22"/>
          <w:szCs w:val="22"/>
          <w:lang w:val="en-US"/>
        </w:rPr>
      </w:pPr>
    </w:p>
    <w:p w14:paraId="4B7FAE8B" w14:textId="77777777" w:rsidR="00E91AED" w:rsidRPr="00E91AED" w:rsidRDefault="00E91AED" w:rsidP="00690C4D">
      <w:pPr>
        <w:pBdr>
          <w:top w:val="single" w:sz="4" w:space="1" w:color="auto"/>
          <w:bottom w:val="single" w:sz="4" w:space="1" w:color="auto"/>
        </w:pBdr>
        <w:autoSpaceDE w:val="0"/>
        <w:autoSpaceDN w:val="0"/>
        <w:adjustRightInd w:val="0"/>
        <w:jc w:val="center"/>
        <w:rPr>
          <w:rFonts w:asciiTheme="minorHAnsi" w:hAnsiTheme="minorHAnsi" w:cstheme="minorHAnsi"/>
          <w:color w:val="000000"/>
          <w:sz w:val="22"/>
          <w:szCs w:val="22"/>
          <w:lang w:val="en-US"/>
        </w:rPr>
      </w:pPr>
      <w:r w:rsidRPr="00E91AED">
        <w:rPr>
          <w:rFonts w:asciiTheme="minorHAnsi" w:hAnsiTheme="minorHAnsi" w:cstheme="minorHAnsi"/>
          <w:color w:val="000000"/>
          <w:sz w:val="22"/>
          <w:szCs w:val="22"/>
          <w:lang w:val="en-US"/>
        </w:rPr>
        <w:t>Raw Data Eigenvalues, &amp; Mean &amp; Percentile Random Data Eigenvalues</w:t>
      </w:r>
    </w:p>
    <w:p w14:paraId="7C57E8C1" w14:textId="77777777" w:rsidR="00E91AED" w:rsidRPr="00E91AED" w:rsidRDefault="00E91AED" w:rsidP="00690C4D">
      <w:pPr>
        <w:pBdr>
          <w:top w:val="single" w:sz="4" w:space="1" w:color="auto"/>
          <w:bottom w:val="single" w:sz="4" w:space="1" w:color="auto"/>
        </w:pBdr>
        <w:autoSpaceDE w:val="0"/>
        <w:autoSpaceDN w:val="0"/>
        <w:adjustRightInd w:val="0"/>
        <w:jc w:val="center"/>
        <w:rPr>
          <w:rFonts w:asciiTheme="minorHAnsi" w:hAnsiTheme="minorHAnsi" w:cstheme="minorHAnsi"/>
          <w:color w:val="000000"/>
          <w:sz w:val="22"/>
          <w:szCs w:val="22"/>
          <w:lang w:val="en-US"/>
        </w:rPr>
      </w:pPr>
      <w:r w:rsidRPr="00E91AED">
        <w:rPr>
          <w:rFonts w:asciiTheme="minorHAnsi" w:hAnsiTheme="minorHAnsi" w:cstheme="minorHAnsi"/>
          <w:color w:val="000000"/>
          <w:sz w:val="22"/>
          <w:szCs w:val="22"/>
          <w:lang w:val="en-US"/>
        </w:rPr>
        <w:t xml:space="preserve">Root     Raw Data        Means     </w:t>
      </w:r>
      <w:proofErr w:type="spellStart"/>
      <w:r w:rsidRPr="00E91AED">
        <w:rPr>
          <w:rFonts w:asciiTheme="minorHAnsi" w:hAnsiTheme="minorHAnsi" w:cstheme="minorHAnsi"/>
          <w:color w:val="000000"/>
          <w:sz w:val="22"/>
          <w:szCs w:val="22"/>
          <w:lang w:val="en-US"/>
        </w:rPr>
        <w:t>Prcntyle</w:t>
      </w:r>
      <w:proofErr w:type="spellEnd"/>
    </w:p>
    <w:p w14:paraId="53892148" w14:textId="77777777" w:rsidR="00E91AED" w:rsidRPr="00E91AED" w:rsidRDefault="00E91AED" w:rsidP="005D63A7">
      <w:pPr>
        <w:pBdr>
          <w:top w:val="single" w:sz="4" w:space="1" w:color="auto"/>
          <w:bottom w:val="single" w:sz="4" w:space="1" w:color="auto"/>
        </w:pBdr>
        <w:autoSpaceDE w:val="0"/>
        <w:autoSpaceDN w:val="0"/>
        <w:adjustRightInd w:val="0"/>
        <w:jc w:val="center"/>
        <w:rPr>
          <w:rFonts w:asciiTheme="minorHAnsi" w:hAnsiTheme="minorHAnsi" w:cstheme="minorHAnsi"/>
          <w:b/>
          <w:color w:val="000000"/>
          <w:sz w:val="22"/>
          <w:szCs w:val="22"/>
          <w:lang w:val="en-US"/>
        </w:rPr>
      </w:pPr>
      <w:r w:rsidRPr="00E91AED">
        <w:rPr>
          <w:rFonts w:asciiTheme="minorHAnsi" w:hAnsiTheme="minorHAnsi" w:cstheme="minorHAnsi"/>
          <w:b/>
          <w:color w:val="000000"/>
          <w:sz w:val="22"/>
          <w:szCs w:val="22"/>
          <w:lang w:val="en-US"/>
        </w:rPr>
        <w:t>1,000000     5,443332     1,402042     1,497696</w:t>
      </w:r>
    </w:p>
    <w:p w14:paraId="4ECEBA05" w14:textId="77777777" w:rsidR="00E91AED" w:rsidRPr="00E91AED" w:rsidRDefault="00E91AED" w:rsidP="005D63A7">
      <w:pPr>
        <w:pBdr>
          <w:top w:val="single" w:sz="4" w:space="1" w:color="auto"/>
          <w:bottom w:val="single" w:sz="4" w:space="1" w:color="auto"/>
        </w:pBdr>
        <w:autoSpaceDE w:val="0"/>
        <w:autoSpaceDN w:val="0"/>
        <w:adjustRightInd w:val="0"/>
        <w:jc w:val="center"/>
        <w:rPr>
          <w:rFonts w:asciiTheme="minorHAnsi" w:hAnsiTheme="minorHAnsi" w:cstheme="minorHAnsi"/>
          <w:b/>
          <w:color w:val="000000"/>
          <w:sz w:val="22"/>
          <w:szCs w:val="22"/>
        </w:rPr>
      </w:pPr>
      <w:r w:rsidRPr="00E91AED">
        <w:rPr>
          <w:rFonts w:asciiTheme="minorHAnsi" w:hAnsiTheme="minorHAnsi" w:cstheme="minorHAnsi"/>
          <w:b/>
          <w:color w:val="000000"/>
          <w:sz w:val="22"/>
          <w:szCs w:val="22"/>
        </w:rPr>
        <w:t>2,000000     2,384603     1,300052     1,366536</w:t>
      </w:r>
    </w:p>
    <w:p w14:paraId="6BC33D1D" w14:textId="77777777" w:rsidR="00E91AED" w:rsidRPr="00E91AED" w:rsidRDefault="00E91AED" w:rsidP="005D63A7">
      <w:pPr>
        <w:pBdr>
          <w:top w:val="single" w:sz="4" w:space="1" w:color="auto"/>
          <w:bottom w:val="single" w:sz="4" w:space="1" w:color="auto"/>
        </w:pBdr>
        <w:autoSpaceDE w:val="0"/>
        <w:autoSpaceDN w:val="0"/>
        <w:adjustRightInd w:val="0"/>
        <w:jc w:val="center"/>
        <w:rPr>
          <w:rFonts w:asciiTheme="minorHAnsi" w:hAnsiTheme="minorHAnsi" w:cstheme="minorHAnsi"/>
          <w:b/>
          <w:color w:val="000000"/>
          <w:sz w:val="22"/>
          <w:szCs w:val="22"/>
        </w:rPr>
      </w:pPr>
      <w:r w:rsidRPr="00E91AED">
        <w:rPr>
          <w:rFonts w:asciiTheme="minorHAnsi" w:hAnsiTheme="minorHAnsi" w:cstheme="minorHAnsi"/>
          <w:b/>
          <w:color w:val="000000"/>
          <w:sz w:val="22"/>
          <w:szCs w:val="22"/>
        </w:rPr>
        <w:t>3,000000     1,284766     1,223322     1,278089</w:t>
      </w:r>
    </w:p>
    <w:p w14:paraId="3C0C5F92" w14:textId="77777777" w:rsidR="00E91AED" w:rsidRPr="00E91AED" w:rsidRDefault="00E91AED" w:rsidP="005D63A7">
      <w:pPr>
        <w:pBdr>
          <w:top w:val="single" w:sz="4" w:space="1" w:color="auto"/>
          <w:bottom w:val="single" w:sz="4" w:space="1" w:color="auto"/>
        </w:pBdr>
        <w:autoSpaceDE w:val="0"/>
        <w:autoSpaceDN w:val="0"/>
        <w:adjustRightInd w:val="0"/>
        <w:jc w:val="center"/>
        <w:rPr>
          <w:rFonts w:asciiTheme="minorHAnsi" w:hAnsiTheme="minorHAnsi" w:cstheme="minorHAnsi"/>
          <w:color w:val="000000"/>
          <w:sz w:val="22"/>
          <w:szCs w:val="22"/>
        </w:rPr>
      </w:pPr>
      <w:r w:rsidRPr="00E91AED">
        <w:rPr>
          <w:rFonts w:asciiTheme="minorHAnsi" w:hAnsiTheme="minorHAnsi" w:cstheme="minorHAnsi"/>
          <w:color w:val="000000"/>
          <w:sz w:val="22"/>
          <w:szCs w:val="22"/>
        </w:rPr>
        <w:t>4,000000      ,857434     1,155042     1,202775</w:t>
      </w:r>
    </w:p>
    <w:p w14:paraId="41BB3C61" w14:textId="77777777" w:rsidR="00E91AED" w:rsidRPr="00E91AED" w:rsidRDefault="00E91AED" w:rsidP="005D63A7">
      <w:pPr>
        <w:pBdr>
          <w:top w:val="single" w:sz="4" w:space="1" w:color="auto"/>
          <w:bottom w:val="single" w:sz="4" w:space="1" w:color="auto"/>
        </w:pBdr>
        <w:autoSpaceDE w:val="0"/>
        <w:autoSpaceDN w:val="0"/>
        <w:adjustRightInd w:val="0"/>
        <w:jc w:val="center"/>
        <w:rPr>
          <w:rFonts w:asciiTheme="minorHAnsi" w:hAnsiTheme="minorHAnsi" w:cstheme="minorHAnsi"/>
          <w:color w:val="000000"/>
          <w:sz w:val="22"/>
          <w:szCs w:val="22"/>
        </w:rPr>
      </w:pPr>
      <w:r w:rsidRPr="00E91AED">
        <w:rPr>
          <w:rFonts w:asciiTheme="minorHAnsi" w:hAnsiTheme="minorHAnsi" w:cstheme="minorHAnsi"/>
          <w:color w:val="000000"/>
          <w:sz w:val="22"/>
          <w:szCs w:val="22"/>
        </w:rPr>
        <w:t>5,000000      ,640355     1,094657     1,137892</w:t>
      </w:r>
    </w:p>
    <w:p w14:paraId="470834FF" w14:textId="77777777" w:rsidR="00E91AED" w:rsidRPr="00E91AED" w:rsidRDefault="00E91AED" w:rsidP="005D63A7">
      <w:pPr>
        <w:pBdr>
          <w:top w:val="single" w:sz="4" w:space="1" w:color="auto"/>
          <w:bottom w:val="single" w:sz="4" w:space="1" w:color="auto"/>
        </w:pBdr>
        <w:autoSpaceDE w:val="0"/>
        <w:autoSpaceDN w:val="0"/>
        <w:adjustRightInd w:val="0"/>
        <w:jc w:val="center"/>
        <w:rPr>
          <w:rFonts w:asciiTheme="minorHAnsi" w:hAnsiTheme="minorHAnsi" w:cstheme="minorHAnsi"/>
          <w:color w:val="000000"/>
          <w:sz w:val="22"/>
          <w:szCs w:val="22"/>
        </w:rPr>
      </w:pPr>
      <w:r w:rsidRPr="00E91AED">
        <w:rPr>
          <w:rFonts w:asciiTheme="minorHAnsi" w:hAnsiTheme="minorHAnsi" w:cstheme="minorHAnsi"/>
          <w:color w:val="000000"/>
          <w:sz w:val="22"/>
          <w:szCs w:val="22"/>
        </w:rPr>
        <w:t>6,000000      ,471927     1,039807     1,082768</w:t>
      </w:r>
    </w:p>
    <w:p w14:paraId="20E5F9B9" w14:textId="77777777" w:rsidR="00E91AED" w:rsidRPr="00E91AED" w:rsidRDefault="00E91AED" w:rsidP="005D63A7">
      <w:pPr>
        <w:pBdr>
          <w:top w:val="single" w:sz="4" w:space="1" w:color="auto"/>
          <w:bottom w:val="single" w:sz="4" w:space="1" w:color="auto"/>
        </w:pBdr>
        <w:autoSpaceDE w:val="0"/>
        <w:autoSpaceDN w:val="0"/>
        <w:adjustRightInd w:val="0"/>
        <w:jc w:val="center"/>
        <w:rPr>
          <w:rFonts w:asciiTheme="minorHAnsi" w:hAnsiTheme="minorHAnsi" w:cstheme="minorHAnsi"/>
          <w:color w:val="000000"/>
          <w:sz w:val="22"/>
          <w:szCs w:val="22"/>
        </w:rPr>
      </w:pPr>
      <w:r w:rsidRPr="00E91AED">
        <w:rPr>
          <w:rFonts w:asciiTheme="minorHAnsi" w:hAnsiTheme="minorHAnsi" w:cstheme="minorHAnsi"/>
          <w:color w:val="000000"/>
          <w:sz w:val="22"/>
          <w:szCs w:val="22"/>
        </w:rPr>
        <w:t>7,000000      ,446010      ,985773     1,028565</w:t>
      </w:r>
    </w:p>
    <w:p w14:paraId="31A9F4F1" w14:textId="77777777" w:rsidR="00E91AED" w:rsidRPr="00E91AED" w:rsidRDefault="00E91AED" w:rsidP="005D63A7">
      <w:pPr>
        <w:pBdr>
          <w:top w:val="single" w:sz="4" w:space="1" w:color="auto"/>
          <w:bottom w:val="single" w:sz="4" w:space="1" w:color="auto"/>
        </w:pBdr>
        <w:autoSpaceDE w:val="0"/>
        <w:autoSpaceDN w:val="0"/>
        <w:adjustRightInd w:val="0"/>
        <w:jc w:val="center"/>
        <w:rPr>
          <w:rFonts w:asciiTheme="minorHAnsi" w:hAnsiTheme="minorHAnsi" w:cstheme="minorHAnsi"/>
          <w:color w:val="000000"/>
          <w:sz w:val="22"/>
          <w:szCs w:val="22"/>
        </w:rPr>
      </w:pPr>
      <w:r w:rsidRPr="00E91AED">
        <w:rPr>
          <w:rFonts w:asciiTheme="minorHAnsi" w:hAnsiTheme="minorHAnsi" w:cstheme="minorHAnsi"/>
          <w:color w:val="000000"/>
          <w:sz w:val="22"/>
          <w:szCs w:val="22"/>
        </w:rPr>
        <w:t>8,000000      ,412977      ,933794      ,975597</w:t>
      </w:r>
    </w:p>
    <w:p w14:paraId="60268702" w14:textId="77777777" w:rsidR="00E91AED" w:rsidRPr="00E91AED" w:rsidRDefault="00E91AED" w:rsidP="005D63A7">
      <w:pPr>
        <w:pBdr>
          <w:top w:val="single" w:sz="4" w:space="1" w:color="auto"/>
          <w:bottom w:val="single" w:sz="4" w:space="1" w:color="auto"/>
        </w:pBdr>
        <w:autoSpaceDE w:val="0"/>
        <w:autoSpaceDN w:val="0"/>
        <w:adjustRightInd w:val="0"/>
        <w:jc w:val="center"/>
        <w:rPr>
          <w:rFonts w:asciiTheme="minorHAnsi" w:hAnsiTheme="minorHAnsi" w:cstheme="minorHAnsi"/>
          <w:color w:val="000000"/>
          <w:sz w:val="22"/>
          <w:szCs w:val="22"/>
        </w:rPr>
      </w:pPr>
      <w:r w:rsidRPr="00E91AED">
        <w:rPr>
          <w:rFonts w:asciiTheme="minorHAnsi" w:hAnsiTheme="minorHAnsi" w:cstheme="minorHAnsi"/>
          <w:color w:val="000000"/>
          <w:sz w:val="22"/>
          <w:szCs w:val="22"/>
        </w:rPr>
        <w:t>9,000000      ,350602      ,882526      ,924876</w:t>
      </w:r>
    </w:p>
    <w:p w14:paraId="4116402D" w14:textId="77777777" w:rsidR="00E91AED" w:rsidRPr="00E91AED" w:rsidRDefault="00E91AED" w:rsidP="005D63A7">
      <w:pPr>
        <w:pBdr>
          <w:top w:val="single" w:sz="4" w:space="1" w:color="auto"/>
          <w:bottom w:val="single" w:sz="4" w:space="1" w:color="auto"/>
        </w:pBdr>
        <w:autoSpaceDE w:val="0"/>
        <w:autoSpaceDN w:val="0"/>
        <w:adjustRightInd w:val="0"/>
        <w:jc w:val="center"/>
        <w:rPr>
          <w:rFonts w:asciiTheme="minorHAnsi" w:hAnsiTheme="minorHAnsi" w:cstheme="minorHAnsi"/>
          <w:color w:val="000000"/>
          <w:sz w:val="22"/>
          <w:szCs w:val="22"/>
        </w:rPr>
      </w:pPr>
      <w:r w:rsidRPr="00E91AED">
        <w:rPr>
          <w:rFonts w:asciiTheme="minorHAnsi" w:hAnsiTheme="minorHAnsi" w:cstheme="minorHAnsi"/>
          <w:color w:val="000000"/>
          <w:sz w:val="22"/>
          <w:szCs w:val="22"/>
        </w:rPr>
        <w:t>10,000000      ,300349      ,830345      ,873371</w:t>
      </w:r>
    </w:p>
    <w:p w14:paraId="0DA8E022" w14:textId="77777777" w:rsidR="00E91AED" w:rsidRPr="00E91AED" w:rsidRDefault="00E91AED" w:rsidP="005D63A7">
      <w:pPr>
        <w:pBdr>
          <w:top w:val="single" w:sz="4" w:space="1" w:color="auto"/>
          <w:bottom w:val="single" w:sz="4" w:space="1" w:color="auto"/>
        </w:pBdr>
        <w:autoSpaceDE w:val="0"/>
        <w:autoSpaceDN w:val="0"/>
        <w:adjustRightInd w:val="0"/>
        <w:jc w:val="center"/>
        <w:rPr>
          <w:rFonts w:asciiTheme="minorHAnsi" w:hAnsiTheme="minorHAnsi" w:cstheme="minorHAnsi"/>
          <w:color w:val="000000"/>
          <w:sz w:val="22"/>
          <w:szCs w:val="22"/>
        </w:rPr>
      </w:pPr>
      <w:r w:rsidRPr="00E91AED">
        <w:rPr>
          <w:rFonts w:asciiTheme="minorHAnsi" w:hAnsiTheme="minorHAnsi" w:cstheme="minorHAnsi"/>
          <w:color w:val="000000"/>
          <w:sz w:val="22"/>
          <w:szCs w:val="22"/>
        </w:rPr>
        <w:t>11,000000      ,228264      ,777435      ,823461</w:t>
      </w:r>
    </w:p>
    <w:p w14:paraId="22AB2D67" w14:textId="77777777" w:rsidR="00E91AED" w:rsidRPr="00E91AED" w:rsidRDefault="00E91AED" w:rsidP="005D63A7">
      <w:pPr>
        <w:pBdr>
          <w:top w:val="single" w:sz="4" w:space="1" w:color="auto"/>
          <w:bottom w:val="single" w:sz="4" w:space="1" w:color="auto"/>
        </w:pBdr>
        <w:autoSpaceDE w:val="0"/>
        <w:autoSpaceDN w:val="0"/>
        <w:adjustRightInd w:val="0"/>
        <w:jc w:val="center"/>
        <w:rPr>
          <w:rFonts w:asciiTheme="minorHAnsi" w:hAnsiTheme="minorHAnsi" w:cstheme="minorHAnsi"/>
          <w:color w:val="000000"/>
          <w:sz w:val="22"/>
          <w:szCs w:val="22"/>
        </w:rPr>
      </w:pPr>
      <w:r w:rsidRPr="00E91AED">
        <w:rPr>
          <w:rFonts w:asciiTheme="minorHAnsi" w:hAnsiTheme="minorHAnsi" w:cstheme="minorHAnsi"/>
          <w:color w:val="000000"/>
          <w:sz w:val="22"/>
          <w:szCs w:val="22"/>
        </w:rPr>
        <w:t>12,000000      ,126918      ,721586      ,770010</w:t>
      </w:r>
    </w:p>
    <w:p w14:paraId="1BF992F9" w14:textId="77777777" w:rsidR="00E91AED" w:rsidRPr="00E91AED" w:rsidRDefault="00E91AED" w:rsidP="005D63A7">
      <w:pPr>
        <w:pBdr>
          <w:top w:val="single" w:sz="4" w:space="1" w:color="auto"/>
          <w:bottom w:val="single" w:sz="4" w:space="1" w:color="auto"/>
        </w:pBdr>
        <w:autoSpaceDE w:val="0"/>
        <w:autoSpaceDN w:val="0"/>
        <w:adjustRightInd w:val="0"/>
        <w:jc w:val="center"/>
        <w:rPr>
          <w:rFonts w:asciiTheme="minorHAnsi" w:hAnsiTheme="minorHAnsi" w:cstheme="minorHAnsi"/>
          <w:color w:val="000000"/>
          <w:sz w:val="22"/>
          <w:szCs w:val="22"/>
        </w:rPr>
      </w:pPr>
      <w:r w:rsidRPr="00E91AED">
        <w:rPr>
          <w:rFonts w:asciiTheme="minorHAnsi" w:hAnsiTheme="minorHAnsi" w:cstheme="minorHAnsi"/>
          <w:color w:val="000000"/>
          <w:sz w:val="22"/>
          <w:szCs w:val="22"/>
        </w:rPr>
        <w:t>13,000000      ,052463      ,653620      ,709641</w:t>
      </w:r>
    </w:p>
    <w:p w14:paraId="1C670D87" w14:textId="675DC5CD" w:rsidR="00E91AED" w:rsidRPr="005D63A7" w:rsidRDefault="00C26BF6" w:rsidP="005D63A7">
      <w:pPr>
        <w:spacing w:line="360" w:lineRule="auto"/>
        <w:jc w:val="center"/>
        <w:rPr>
          <w:rFonts w:asciiTheme="minorHAnsi" w:eastAsia="Calibri" w:hAnsiTheme="minorHAnsi" w:cstheme="minorHAnsi"/>
          <w:sz w:val="22"/>
          <w:szCs w:val="22"/>
        </w:rPr>
      </w:pPr>
      <w:r w:rsidRPr="005D63A7">
        <w:rPr>
          <w:rFonts w:asciiTheme="minorHAnsi" w:eastAsia="Calibri" w:hAnsiTheme="minorHAnsi" w:cstheme="minorHAnsi"/>
          <w:sz w:val="22"/>
          <w:szCs w:val="22"/>
        </w:rPr>
        <w:t>Πίνακας 1: Παράλληλη Ανάλυση</w:t>
      </w:r>
    </w:p>
    <w:p w14:paraId="53555913" w14:textId="77777777" w:rsidR="005D63A7" w:rsidRDefault="00C26BF6" w:rsidP="005D63A7">
      <w:pPr>
        <w:ind w:firstLine="284"/>
        <w:jc w:val="both"/>
        <w:rPr>
          <w:rFonts w:asciiTheme="minorHAnsi" w:hAnsiTheme="minorHAnsi" w:cstheme="minorHAnsi"/>
          <w:bCs/>
          <w:i/>
          <w:iCs/>
          <w:sz w:val="22"/>
          <w:szCs w:val="22"/>
        </w:rPr>
      </w:pPr>
      <w:r>
        <w:rPr>
          <w:rFonts w:asciiTheme="minorHAnsi" w:hAnsiTheme="minorHAnsi" w:cstheme="minorHAnsi"/>
          <w:bCs/>
          <w:i/>
          <w:iCs/>
          <w:sz w:val="22"/>
          <w:szCs w:val="22"/>
        </w:rPr>
        <w:t xml:space="preserve">Γ. </w:t>
      </w:r>
      <w:r w:rsidR="00326CC1" w:rsidRPr="00CF7EBD">
        <w:rPr>
          <w:rFonts w:asciiTheme="minorHAnsi" w:hAnsiTheme="minorHAnsi" w:cstheme="minorHAnsi"/>
          <w:bCs/>
          <w:i/>
          <w:iCs/>
          <w:sz w:val="22"/>
          <w:szCs w:val="22"/>
        </w:rPr>
        <w:t>Επιβεβαιωτική παραγοντική ανάλυση</w:t>
      </w:r>
    </w:p>
    <w:p w14:paraId="7CCFB40C" w14:textId="2C9460E1" w:rsidR="00326CC1" w:rsidRPr="005D63A7" w:rsidRDefault="00326CC1" w:rsidP="005D63A7">
      <w:pPr>
        <w:ind w:firstLine="284"/>
        <w:jc w:val="both"/>
        <w:rPr>
          <w:rFonts w:asciiTheme="minorHAnsi" w:hAnsiTheme="minorHAnsi" w:cstheme="minorHAnsi"/>
          <w:bCs/>
          <w:i/>
          <w:iCs/>
          <w:sz w:val="22"/>
          <w:szCs w:val="22"/>
        </w:rPr>
      </w:pPr>
      <w:r w:rsidRPr="00CF7EBD">
        <w:rPr>
          <w:rFonts w:asciiTheme="minorHAnsi" w:hAnsiTheme="minorHAnsi" w:cstheme="minorHAnsi"/>
          <w:color w:val="000000"/>
          <w:sz w:val="22"/>
          <w:szCs w:val="22"/>
          <w:lang w:eastAsia="el-GR"/>
        </w:rPr>
        <w:t>Η παραγοντική δομή του υποθετικού θεωρητικού μας μοντέλου (Μοντέλο1) το οποίο αποτελείται από τρεις μεταβλητές πρώτης τάξης (</w:t>
      </w:r>
      <w:r w:rsidRPr="00CF7EBD">
        <w:rPr>
          <w:rFonts w:asciiTheme="minorHAnsi" w:hAnsiTheme="minorHAnsi" w:cstheme="minorHAnsi"/>
          <w:color w:val="000000"/>
          <w:sz w:val="22"/>
          <w:szCs w:val="22"/>
          <w:lang w:val="en-US" w:eastAsia="el-GR"/>
        </w:rPr>
        <w:t>first</w:t>
      </w:r>
      <w:r w:rsidRPr="00CF7EBD">
        <w:rPr>
          <w:rFonts w:asciiTheme="minorHAnsi" w:hAnsiTheme="minorHAnsi" w:cstheme="minorHAnsi"/>
          <w:color w:val="000000"/>
          <w:sz w:val="22"/>
          <w:szCs w:val="22"/>
          <w:lang w:eastAsia="el-GR"/>
        </w:rPr>
        <w:t xml:space="preserve"> </w:t>
      </w:r>
      <w:r w:rsidRPr="00CF7EBD">
        <w:rPr>
          <w:rFonts w:asciiTheme="minorHAnsi" w:hAnsiTheme="minorHAnsi" w:cstheme="minorHAnsi"/>
          <w:color w:val="000000"/>
          <w:sz w:val="22"/>
          <w:szCs w:val="22"/>
          <w:lang w:val="en-US" w:eastAsia="el-GR"/>
        </w:rPr>
        <w:t>order</w:t>
      </w:r>
      <w:r w:rsidRPr="00CF7EBD">
        <w:rPr>
          <w:rFonts w:asciiTheme="minorHAnsi" w:hAnsiTheme="minorHAnsi" w:cstheme="minorHAnsi"/>
          <w:color w:val="000000"/>
          <w:sz w:val="22"/>
          <w:szCs w:val="22"/>
          <w:lang w:eastAsia="el-GR"/>
        </w:rPr>
        <w:t xml:space="preserve">), εξετάστηκε με τη χρήση της επιβεβαιωτικής παραγοντικής ανάλυσης χρησιμοποιώντας το πρόγραμμα </w:t>
      </w:r>
      <w:r w:rsidRPr="00CF7EBD">
        <w:rPr>
          <w:rFonts w:asciiTheme="minorHAnsi" w:hAnsiTheme="minorHAnsi" w:cstheme="minorHAnsi"/>
          <w:color w:val="000000"/>
          <w:sz w:val="22"/>
          <w:szCs w:val="22"/>
          <w:lang w:val="en-US" w:eastAsia="el-GR"/>
        </w:rPr>
        <w:t>SPSS</w:t>
      </w:r>
      <w:r w:rsidRPr="00CF7EBD">
        <w:rPr>
          <w:rFonts w:asciiTheme="minorHAnsi" w:hAnsiTheme="minorHAnsi" w:cstheme="minorHAnsi"/>
          <w:color w:val="000000"/>
          <w:sz w:val="22"/>
          <w:szCs w:val="22"/>
          <w:lang w:eastAsia="el-GR"/>
        </w:rPr>
        <w:t xml:space="preserve"> </w:t>
      </w:r>
      <w:r w:rsidRPr="00CF7EBD">
        <w:rPr>
          <w:rFonts w:asciiTheme="minorHAnsi" w:hAnsiTheme="minorHAnsi" w:cstheme="minorHAnsi"/>
          <w:color w:val="000000"/>
          <w:sz w:val="22"/>
          <w:szCs w:val="22"/>
          <w:lang w:val="en-US" w:eastAsia="el-GR"/>
        </w:rPr>
        <w:t>AMOS</w:t>
      </w:r>
      <w:r w:rsidRPr="00CF7EBD">
        <w:rPr>
          <w:rFonts w:asciiTheme="minorHAnsi" w:hAnsiTheme="minorHAnsi" w:cstheme="minorHAnsi"/>
          <w:color w:val="000000"/>
          <w:sz w:val="22"/>
          <w:szCs w:val="22"/>
          <w:lang w:eastAsia="el-GR"/>
        </w:rPr>
        <w:t xml:space="preserve"> 28 (</w:t>
      </w:r>
      <w:proofErr w:type="spellStart"/>
      <w:r w:rsidRPr="00CF7EBD">
        <w:rPr>
          <w:rFonts w:asciiTheme="minorHAnsi" w:hAnsiTheme="minorHAnsi" w:cstheme="minorHAnsi"/>
          <w:color w:val="000000"/>
          <w:sz w:val="22"/>
          <w:szCs w:val="22"/>
          <w:shd w:val="clear" w:color="auto" w:fill="FFFFFF"/>
          <w:lang w:eastAsia="el-GR"/>
        </w:rPr>
        <w:t>Arbuckle</w:t>
      </w:r>
      <w:proofErr w:type="spellEnd"/>
      <w:r w:rsidRPr="00CF7EBD">
        <w:rPr>
          <w:rFonts w:asciiTheme="minorHAnsi" w:hAnsiTheme="minorHAnsi" w:cstheme="minorHAnsi"/>
          <w:color w:val="000000"/>
          <w:sz w:val="22"/>
          <w:szCs w:val="22"/>
          <w:shd w:val="clear" w:color="auto" w:fill="FFFFFF"/>
          <w:lang w:eastAsia="el-GR"/>
        </w:rPr>
        <w:t>, 2021</w:t>
      </w:r>
      <w:r w:rsidRPr="00CF7EBD">
        <w:rPr>
          <w:rFonts w:asciiTheme="minorHAnsi" w:hAnsiTheme="minorHAnsi" w:cstheme="minorHAnsi"/>
          <w:color w:val="000000"/>
          <w:sz w:val="22"/>
          <w:szCs w:val="22"/>
          <w:lang w:eastAsia="el-GR"/>
        </w:rPr>
        <w:t xml:space="preserve">). Οι τρείς παράγοντες της κλίμακας συσχετίζονται ελεύθερα και η κάθε ερώτηση αντιστοιχεί («φορτώνει») μόνο στον αντίστοιχο δικό της θεωρητικό παράγοντα. </w:t>
      </w:r>
      <w:r w:rsidRPr="00CF7EBD">
        <w:rPr>
          <w:rFonts w:asciiTheme="minorHAnsi" w:eastAsia="Calibri" w:hAnsiTheme="minorHAnsi" w:cstheme="minorHAnsi"/>
          <w:sz w:val="22"/>
          <w:szCs w:val="22"/>
        </w:rPr>
        <w:t>Για την επιβεβαιωτική παραγοντική ανάλυση (</w:t>
      </w:r>
      <w:r w:rsidRPr="00CF7EBD">
        <w:rPr>
          <w:rFonts w:asciiTheme="minorHAnsi" w:eastAsia="Calibri" w:hAnsiTheme="minorHAnsi" w:cstheme="minorHAnsi"/>
          <w:sz w:val="22"/>
          <w:szCs w:val="22"/>
          <w:lang w:val="en-US"/>
        </w:rPr>
        <w:t>Confirmatory</w:t>
      </w:r>
      <w:r w:rsidRPr="00CF7EBD">
        <w:rPr>
          <w:rFonts w:asciiTheme="minorHAnsi" w:eastAsia="Calibri" w:hAnsiTheme="minorHAnsi" w:cstheme="minorHAnsi"/>
          <w:sz w:val="22"/>
          <w:szCs w:val="22"/>
        </w:rPr>
        <w:t xml:space="preserve"> </w:t>
      </w:r>
      <w:r w:rsidRPr="00CF7EBD">
        <w:rPr>
          <w:rFonts w:asciiTheme="minorHAnsi" w:eastAsia="Calibri" w:hAnsiTheme="minorHAnsi" w:cstheme="minorHAnsi"/>
          <w:sz w:val="22"/>
          <w:szCs w:val="22"/>
          <w:lang w:val="en-US"/>
        </w:rPr>
        <w:t>Factor</w:t>
      </w:r>
      <w:r w:rsidRPr="00CF7EBD">
        <w:rPr>
          <w:rFonts w:asciiTheme="minorHAnsi" w:eastAsia="Calibri" w:hAnsiTheme="minorHAnsi" w:cstheme="minorHAnsi"/>
          <w:sz w:val="22"/>
          <w:szCs w:val="22"/>
        </w:rPr>
        <w:t xml:space="preserve"> </w:t>
      </w:r>
      <w:r w:rsidRPr="00CF7EBD">
        <w:rPr>
          <w:rFonts w:asciiTheme="minorHAnsi" w:eastAsia="Calibri" w:hAnsiTheme="minorHAnsi" w:cstheme="minorHAnsi"/>
          <w:sz w:val="22"/>
          <w:szCs w:val="22"/>
          <w:lang w:val="en-US"/>
        </w:rPr>
        <w:t>Analysis</w:t>
      </w:r>
      <w:r w:rsidRPr="00CF7EBD">
        <w:rPr>
          <w:rFonts w:asciiTheme="minorHAnsi" w:eastAsia="Calibri" w:hAnsiTheme="minorHAnsi" w:cstheme="minorHAnsi"/>
          <w:sz w:val="22"/>
          <w:szCs w:val="22"/>
        </w:rPr>
        <w:t xml:space="preserve">) χρησιμοποιήθηκε η μέθοδος εκτίμησης της μέγιστης </w:t>
      </w:r>
      <w:proofErr w:type="spellStart"/>
      <w:r w:rsidRPr="00CF7EBD">
        <w:rPr>
          <w:rFonts w:asciiTheme="minorHAnsi" w:eastAsia="Calibri" w:hAnsiTheme="minorHAnsi" w:cstheme="minorHAnsi"/>
          <w:sz w:val="22"/>
          <w:szCs w:val="22"/>
        </w:rPr>
        <w:t>πιθανοφάνειας</w:t>
      </w:r>
      <w:proofErr w:type="spellEnd"/>
      <w:r w:rsidRPr="00CF7EBD">
        <w:rPr>
          <w:rFonts w:asciiTheme="minorHAnsi" w:eastAsia="Calibri" w:hAnsiTheme="minorHAnsi" w:cstheme="minorHAnsi"/>
          <w:sz w:val="22"/>
          <w:szCs w:val="22"/>
        </w:rPr>
        <w:t>, καθώς θεωρείται ότι είναι ανθεκτική σε μικρές αποκλίσεις των δεδομένων από την κανονική κατανομή (</w:t>
      </w:r>
      <w:proofErr w:type="spellStart"/>
      <w:r w:rsidRPr="00CF7EBD">
        <w:rPr>
          <w:rFonts w:asciiTheme="minorHAnsi" w:eastAsia="Calibri" w:hAnsiTheme="minorHAnsi" w:cstheme="minorHAnsi"/>
          <w:sz w:val="22"/>
          <w:szCs w:val="22"/>
        </w:rPr>
        <w:t>West</w:t>
      </w:r>
      <w:proofErr w:type="spellEnd"/>
      <w:r w:rsidRPr="00CF7EBD">
        <w:rPr>
          <w:rFonts w:asciiTheme="minorHAnsi" w:eastAsia="Calibri" w:hAnsiTheme="minorHAnsi" w:cstheme="minorHAnsi"/>
          <w:sz w:val="22"/>
          <w:szCs w:val="22"/>
        </w:rPr>
        <w:t xml:space="preserve"> </w:t>
      </w:r>
      <w:proofErr w:type="spellStart"/>
      <w:r w:rsidRPr="00CF7EBD">
        <w:rPr>
          <w:rFonts w:asciiTheme="minorHAnsi" w:eastAsia="Calibri" w:hAnsiTheme="minorHAnsi" w:cstheme="minorHAnsi"/>
          <w:sz w:val="22"/>
          <w:szCs w:val="22"/>
        </w:rPr>
        <w:t>et</w:t>
      </w:r>
      <w:proofErr w:type="spellEnd"/>
      <w:r w:rsidRPr="00CF7EBD">
        <w:rPr>
          <w:rFonts w:asciiTheme="minorHAnsi" w:eastAsia="Calibri" w:hAnsiTheme="minorHAnsi" w:cstheme="minorHAnsi"/>
          <w:sz w:val="22"/>
          <w:szCs w:val="22"/>
        </w:rPr>
        <w:t xml:space="preserve"> </w:t>
      </w:r>
      <w:proofErr w:type="spellStart"/>
      <w:r w:rsidRPr="00CF7EBD">
        <w:rPr>
          <w:rFonts w:asciiTheme="minorHAnsi" w:eastAsia="Calibri" w:hAnsiTheme="minorHAnsi" w:cstheme="minorHAnsi"/>
          <w:sz w:val="22"/>
          <w:szCs w:val="22"/>
        </w:rPr>
        <w:t>al</w:t>
      </w:r>
      <w:proofErr w:type="spellEnd"/>
      <w:r w:rsidRPr="00CF7EBD">
        <w:rPr>
          <w:rFonts w:asciiTheme="minorHAnsi" w:eastAsia="Calibri" w:hAnsiTheme="minorHAnsi" w:cstheme="minorHAnsi"/>
          <w:sz w:val="22"/>
          <w:szCs w:val="22"/>
        </w:rPr>
        <w:t xml:space="preserve">., 1995; </w:t>
      </w:r>
      <w:proofErr w:type="spellStart"/>
      <w:r w:rsidRPr="00CF7EBD">
        <w:rPr>
          <w:rFonts w:asciiTheme="minorHAnsi" w:eastAsia="Calibri" w:hAnsiTheme="minorHAnsi" w:cstheme="minorHAnsi"/>
          <w:sz w:val="22"/>
          <w:szCs w:val="22"/>
        </w:rPr>
        <w:t>Finney</w:t>
      </w:r>
      <w:proofErr w:type="spellEnd"/>
      <w:r w:rsidRPr="00CF7EBD">
        <w:rPr>
          <w:rFonts w:asciiTheme="minorHAnsi" w:eastAsia="Calibri" w:hAnsiTheme="minorHAnsi" w:cstheme="minorHAnsi"/>
          <w:sz w:val="22"/>
          <w:szCs w:val="22"/>
        </w:rPr>
        <w:t xml:space="preserve"> &amp; </w:t>
      </w:r>
      <w:proofErr w:type="spellStart"/>
      <w:r w:rsidRPr="00CF7EBD">
        <w:rPr>
          <w:rFonts w:asciiTheme="minorHAnsi" w:eastAsia="Calibri" w:hAnsiTheme="minorHAnsi" w:cstheme="minorHAnsi"/>
          <w:sz w:val="22"/>
          <w:szCs w:val="22"/>
        </w:rPr>
        <w:t>DiStefano</w:t>
      </w:r>
      <w:proofErr w:type="spellEnd"/>
      <w:r w:rsidRPr="00CF7EBD">
        <w:rPr>
          <w:rFonts w:asciiTheme="minorHAnsi" w:eastAsia="Calibri" w:hAnsiTheme="minorHAnsi" w:cstheme="minorHAnsi"/>
          <w:sz w:val="22"/>
          <w:szCs w:val="22"/>
        </w:rPr>
        <w:t>, 2006).</w:t>
      </w:r>
      <w:r w:rsidR="00CF7EBD" w:rsidRPr="00CF7EBD">
        <w:rPr>
          <w:rFonts w:asciiTheme="minorHAnsi" w:eastAsia="Calibri" w:hAnsiTheme="minorHAnsi" w:cstheme="minorHAnsi"/>
          <w:sz w:val="22"/>
          <w:szCs w:val="22"/>
        </w:rPr>
        <w:t xml:space="preserve">  </w:t>
      </w:r>
      <w:r w:rsidRPr="00CF7EBD">
        <w:rPr>
          <w:rFonts w:asciiTheme="minorHAnsi" w:eastAsiaTheme="minorHAnsi" w:hAnsiTheme="minorHAnsi" w:cstheme="minorHAnsi"/>
          <w:sz w:val="22"/>
          <w:szCs w:val="22"/>
          <w:lang w:eastAsia="en-US"/>
        </w:rPr>
        <w:t xml:space="preserve">Το </w:t>
      </w:r>
      <w:proofErr w:type="spellStart"/>
      <w:r w:rsidRPr="00CF7EBD">
        <w:rPr>
          <w:rFonts w:asciiTheme="minorHAnsi" w:eastAsiaTheme="minorHAnsi" w:hAnsiTheme="minorHAnsi" w:cstheme="minorHAnsi"/>
          <w:sz w:val="22"/>
          <w:szCs w:val="22"/>
          <w:lang w:eastAsia="en-US"/>
        </w:rPr>
        <w:t>Small’s</w:t>
      </w:r>
      <w:proofErr w:type="spellEnd"/>
      <w:r w:rsidRPr="00CF7EBD">
        <w:rPr>
          <w:rFonts w:asciiTheme="minorHAnsi" w:eastAsiaTheme="minorHAnsi" w:hAnsiTheme="minorHAnsi" w:cstheme="minorHAnsi"/>
          <w:sz w:val="22"/>
          <w:szCs w:val="22"/>
          <w:lang w:eastAsia="en-US"/>
        </w:rPr>
        <w:t xml:space="preserve"> </w:t>
      </w:r>
      <w:proofErr w:type="spellStart"/>
      <w:r w:rsidRPr="00CF7EBD">
        <w:rPr>
          <w:rFonts w:asciiTheme="minorHAnsi" w:eastAsiaTheme="minorHAnsi" w:hAnsiTheme="minorHAnsi" w:cstheme="minorHAnsi"/>
          <w:sz w:val="22"/>
          <w:szCs w:val="22"/>
          <w:lang w:eastAsia="en-US"/>
        </w:rPr>
        <w:t>test</w:t>
      </w:r>
      <w:proofErr w:type="spellEnd"/>
      <w:r w:rsidRPr="00CF7EBD">
        <w:rPr>
          <w:rFonts w:asciiTheme="minorHAnsi" w:eastAsiaTheme="minorHAnsi" w:hAnsiTheme="minorHAnsi" w:cstheme="minorHAnsi"/>
          <w:sz w:val="22"/>
          <w:szCs w:val="22"/>
          <w:lang w:eastAsia="en-US"/>
        </w:rPr>
        <w:t xml:space="preserve"> για τον εντοπισμό της </w:t>
      </w:r>
      <w:proofErr w:type="spellStart"/>
      <w:r w:rsidRPr="00CF7EBD">
        <w:rPr>
          <w:rFonts w:asciiTheme="minorHAnsi" w:eastAsiaTheme="minorHAnsi" w:hAnsiTheme="minorHAnsi" w:cstheme="minorHAnsi"/>
          <w:sz w:val="22"/>
          <w:szCs w:val="22"/>
          <w:lang w:eastAsia="en-US"/>
        </w:rPr>
        <w:t>πολυμεταβλητής</w:t>
      </w:r>
      <w:proofErr w:type="spellEnd"/>
      <w:r w:rsidRPr="00CF7EBD">
        <w:rPr>
          <w:rFonts w:asciiTheme="minorHAnsi" w:eastAsiaTheme="minorHAnsi" w:hAnsiTheme="minorHAnsi" w:cstheme="minorHAnsi"/>
          <w:sz w:val="22"/>
          <w:szCs w:val="22"/>
          <w:lang w:eastAsia="en-US"/>
        </w:rPr>
        <w:t xml:space="preserve"> ασυμμετρίας έδειξε </w:t>
      </w:r>
      <w:r w:rsidRPr="00CF7EBD">
        <w:rPr>
          <w:rFonts w:asciiTheme="minorHAnsi" w:eastAsiaTheme="minorHAnsi" w:hAnsiTheme="minorHAnsi" w:cstheme="minorHAnsi"/>
          <w:i/>
          <w:sz w:val="22"/>
          <w:szCs w:val="22"/>
          <w:lang w:eastAsia="en-US"/>
        </w:rPr>
        <w:t>x</w:t>
      </w:r>
      <w:r w:rsidRPr="00CF7EBD">
        <w:rPr>
          <w:rFonts w:asciiTheme="minorHAnsi" w:eastAsiaTheme="minorHAnsi" w:hAnsiTheme="minorHAnsi" w:cstheme="minorHAnsi"/>
          <w:sz w:val="22"/>
          <w:szCs w:val="22"/>
          <w:vertAlign w:val="superscript"/>
          <w:lang w:eastAsia="en-US"/>
        </w:rPr>
        <w:t>2</w:t>
      </w:r>
      <w:r w:rsidRPr="006B66C7">
        <w:rPr>
          <w:rFonts w:asciiTheme="minorHAnsi" w:eastAsiaTheme="minorHAnsi" w:hAnsiTheme="minorHAnsi" w:cstheme="minorHAnsi"/>
          <w:sz w:val="22"/>
          <w:szCs w:val="22"/>
          <w:vertAlign w:val="subscript"/>
          <w:lang w:eastAsia="en-US"/>
        </w:rPr>
        <w:t>(13</w:t>
      </w:r>
      <w:r w:rsidRPr="00CF7EBD">
        <w:rPr>
          <w:rFonts w:asciiTheme="minorHAnsi" w:eastAsiaTheme="minorHAnsi" w:hAnsiTheme="minorHAnsi" w:cstheme="minorHAnsi"/>
          <w:sz w:val="22"/>
          <w:szCs w:val="22"/>
          <w:lang w:eastAsia="en-US"/>
        </w:rPr>
        <w:t xml:space="preserve">) = 226,295, p = 0,000. Το </w:t>
      </w:r>
      <w:proofErr w:type="spellStart"/>
      <w:r w:rsidRPr="00CF7EBD">
        <w:rPr>
          <w:rFonts w:asciiTheme="minorHAnsi" w:eastAsiaTheme="minorHAnsi" w:hAnsiTheme="minorHAnsi" w:cstheme="minorHAnsi"/>
          <w:sz w:val="22"/>
          <w:szCs w:val="22"/>
          <w:lang w:eastAsia="en-US"/>
        </w:rPr>
        <w:t>Small’s</w:t>
      </w:r>
      <w:proofErr w:type="spellEnd"/>
      <w:r w:rsidRPr="00CF7EBD">
        <w:rPr>
          <w:rFonts w:asciiTheme="minorHAnsi" w:eastAsiaTheme="minorHAnsi" w:hAnsiTheme="minorHAnsi" w:cstheme="minorHAnsi"/>
          <w:sz w:val="22"/>
          <w:szCs w:val="22"/>
          <w:lang w:eastAsia="en-US"/>
        </w:rPr>
        <w:t xml:space="preserve"> </w:t>
      </w:r>
      <w:proofErr w:type="spellStart"/>
      <w:r w:rsidRPr="00CF7EBD">
        <w:rPr>
          <w:rFonts w:asciiTheme="minorHAnsi" w:eastAsiaTheme="minorHAnsi" w:hAnsiTheme="minorHAnsi" w:cstheme="minorHAnsi"/>
          <w:sz w:val="22"/>
          <w:szCs w:val="22"/>
          <w:lang w:eastAsia="en-US"/>
        </w:rPr>
        <w:t>test</w:t>
      </w:r>
      <w:proofErr w:type="spellEnd"/>
      <w:r w:rsidRPr="00CF7EBD">
        <w:rPr>
          <w:rFonts w:asciiTheme="minorHAnsi" w:eastAsiaTheme="minorHAnsi" w:hAnsiTheme="minorHAnsi" w:cstheme="minorHAnsi"/>
          <w:sz w:val="22"/>
          <w:szCs w:val="22"/>
          <w:lang w:eastAsia="en-US"/>
        </w:rPr>
        <w:t xml:space="preserve"> για τον εντοπισμό της </w:t>
      </w:r>
      <w:proofErr w:type="spellStart"/>
      <w:r w:rsidRPr="00CF7EBD">
        <w:rPr>
          <w:rFonts w:asciiTheme="minorHAnsi" w:eastAsiaTheme="minorHAnsi" w:hAnsiTheme="minorHAnsi" w:cstheme="minorHAnsi"/>
          <w:sz w:val="22"/>
          <w:szCs w:val="22"/>
          <w:lang w:eastAsia="en-US"/>
        </w:rPr>
        <w:t>πολυμεταβλητής</w:t>
      </w:r>
      <w:proofErr w:type="spellEnd"/>
      <w:r w:rsidRPr="00CF7EBD">
        <w:rPr>
          <w:rFonts w:asciiTheme="minorHAnsi" w:eastAsiaTheme="minorHAnsi" w:hAnsiTheme="minorHAnsi" w:cstheme="minorHAnsi"/>
          <w:sz w:val="22"/>
          <w:szCs w:val="22"/>
          <w:lang w:eastAsia="en-US"/>
        </w:rPr>
        <w:t xml:space="preserve"> κύρτωσης έδειξε </w:t>
      </w:r>
      <w:r w:rsidRPr="00CF7EBD">
        <w:rPr>
          <w:rFonts w:asciiTheme="minorHAnsi" w:eastAsiaTheme="minorHAnsi" w:hAnsiTheme="minorHAnsi" w:cstheme="minorHAnsi"/>
          <w:i/>
          <w:sz w:val="22"/>
          <w:szCs w:val="22"/>
          <w:lang w:eastAsia="en-US"/>
        </w:rPr>
        <w:t>x</w:t>
      </w:r>
      <w:r w:rsidRPr="00CF7EBD">
        <w:rPr>
          <w:rFonts w:asciiTheme="minorHAnsi" w:eastAsiaTheme="minorHAnsi" w:hAnsiTheme="minorHAnsi" w:cstheme="minorHAnsi"/>
          <w:sz w:val="22"/>
          <w:szCs w:val="22"/>
          <w:vertAlign w:val="superscript"/>
          <w:lang w:eastAsia="en-US"/>
        </w:rPr>
        <w:t>2</w:t>
      </w:r>
      <w:r w:rsidRPr="006B66C7">
        <w:rPr>
          <w:rFonts w:asciiTheme="minorHAnsi" w:eastAsiaTheme="minorHAnsi" w:hAnsiTheme="minorHAnsi" w:cstheme="minorHAnsi"/>
          <w:sz w:val="22"/>
          <w:szCs w:val="22"/>
          <w:vertAlign w:val="subscript"/>
          <w:lang w:eastAsia="en-US"/>
        </w:rPr>
        <w:t>(13)</w:t>
      </w:r>
      <w:r w:rsidRPr="00CF7EBD">
        <w:rPr>
          <w:rFonts w:asciiTheme="minorHAnsi" w:eastAsiaTheme="minorHAnsi" w:hAnsiTheme="minorHAnsi" w:cstheme="minorHAnsi"/>
          <w:sz w:val="22"/>
          <w:szCs w:val="22"/>
          <w:lang w:eastAsia="en-US"/>
        </w:rPr>
        <w:t xml:space="preserve"> = 131,424, p = 0,000. Τελικά, το </w:t>
      </w:r>
      <w:proofErr w:type="spellStart"/>
      <w:r w:rsidRPr="00CF7EBD">
        <w:rPr>
          <w:rFonts w:asciiTheme="minorHAnsi" w:eastAsiaTheme="minorHAnsi" w:hAnsiTheme="minorHAnsi" w:cstheme="minorHAnsi"/>
          <w:sz w:val="22"/>
          <w:szCs w:val="22"/>
          <w:lang w:eastAsia="en-US"/>
        </w:rPr>
        <w:t>Omnibus</w:t>
      </w:r>
      <w:proofErr w:type="spellEnd"/>
      <w:r w:rsidRPr="00CF7EBD">
        <w:rPr>
          <w:rFonts w:asciiTheme="minorHAnsi" w:eastAsiaTheme="minorHAnsi" w:hAnsiTheme="minorHAnsi" w:cstheme="minorHAnsi"/>
          <w:sz w:val="22"/>
          <w:szCs w:val="22"/>
          <w:lang w:eastAsia="en-US"/>
        </w:rPr>
        <w:t xml:space="preserve"> </w:t>
      </w:r>
      <w:proofErr w:type="spellStart"/>
      <w:r w:rsidRPr="00CF7EBD">
        <w:rPr>
          <w:rFonts w:asciiTheme="minorHAnsi" w:eastAsiaTheme="minorHAnsi" w:hAnsiTheme="minorHAnsi" w:cstheme="minorHAnsi"/>
          <w:sz w:val="22"/>
          <w:szCs w:val="22"/>
          <w:lang w:eastAsia="en-US"/>
        </w:rPr>
        <w:t>test</w:t>
      </w:r>
      <w:proofErr w:type="spellEnd"/>
      <w:r w:rsidRPr="00CF7EBD">
        <w:rPr>
          <w:rFonts w:asciiTheme="minorHAnsi" w:eastAsiaTheme="minorHAnsi" w:hAnsiTheme="minorHAnsi" w:cstheme="minorHAnsi"/>
          <w:sz w:val="22"/>
          <w:szCs w:val="22"/>
          <w:lang w:eastAsia="en-US"/>
        </w:rPr>
        <w:t xml:space="preserve"> of </w:t>
      </w:r>
      <w:proofErr w:type="spellStart"/>
      <w:r w:rsidRPr="00CF7EBD">
        <w:rPr>
          <w:rFonts w:asciiTheme="minorHAnsi" w:eastAsiaTheme="minorHAnsi" w:hAnsiTheme="minorHAnsi" w:cstheme="minorHAnsi"/>
          <w:sz w:val="22"/>
          <w:szCs w:val="22"/>
          <w:lang w:eastAsia="en-US"/>
        </w:rPr>
        <w:t>multivariate</w:t>
      </w:r>
      <w:proofErr w:type="spellEnd"/>
      <w:r w:rsidRPr="00CF7EBD">
        <w:rPr>
          <w:rFonts w:asciiTheme="minorHAnsi" w:eastAsiaTheme="minorHAnsi" w:hAnsiTheme="minorHAnsi" w:cstheme="minorHAnsi"/>
          <w:sz w:val="22"/>
          <w:szCs w:val="22"/>
          <w:lang w:eastAsia="en-US"/>
        </w:rPr>
        <w:t xml:space="preserve"> </w:t>
      </w:r>
      <w:proofErr w:type="spellStart"/>
      <w:r w:rsidRPr="00CF7EBD">
        <w:rPr>
          <w:rFonts w:asciiTheme="minorHAnsi" w:eastAsiaTheme="minorHAnsi" w:hAnsiTheme="minorHAnsi" w:cstheme="minorHAnsi"/>
          <w:sz w:val="22"/>
          <w:szCs w:val="22"/>
          <w:lang w:eastAsia="en-US"/>
        </w:rPr>
        <w:t>normality</w:t>
      </w:r>
      <w:proofErr w:type="spellEnd"/>
      <w:r w:rsidRPr="00CF7EBD">
        <w:rPr>
          <w:rFonts w:asciiTheme="minorHAnsi" w:eastAsiaTheme="minorHAnsi" w:hAnsiTheme="minorHAnsi" w:cstheme="minorHAnsi"/>
          <w:sz w:val="22"/>
          <w:szCs w:val="22"/>
          <w:lang w:eastAsia="en-US"/>
        </w:rPr>
        <w:t xml:space="preserve"> (το οποίο βασίζεται στο </w:t>
      </w:r>
      <w:proofErr w:type="spellStart"/>
      <w:r w:rsidRPr="00CF7EBD">
        <w:rPr>
          <w:rFonts w:asciiTheme="minorHAnsi" w:eastAsiaTheme="minorHAnsi" w:hAnsiTheme="minorHAnsi" w:cstheme="minorHAnsi"/>
          <w:sz w:val="22"/>
          <w:szCs w:val="22"/>
          <w:lang w:eastAsia="en-US"/>
        </w:rPr>
        <w:t>Small’s</w:t>
      </w:r>
      <w:proofErr w:type="spellEnd"/>
      <w:r w:rsidRPr="00CF7EBD">
        <w:rPr>
          <w:rFonts w:asciiTheme="minorHAnsi" w:eastAsiaTheme="minorHAnsi" w:hAnsiTheme="minorHAnsi" w:cstheme="minorHAnsi"/>
          <w:sz w:val="22"/>
          <w:szCs w:val="22"/>
          <w:lang w:eastAsia="en-US"/>
        </w:rPr>
        <w:t xml:space="preserve"> </w:t>
      </w:r>
      <w:proofErr w:type="spellStart"/>
      <w:r w:rsidRPr="00CF7EBD">
        <w:rPr>
          <w:rFonts w:asciiTheme="minorHAnsi" w:eastAsiaTheme="minorHAnsi" w:hAnsiTheme="minorHAnsi" w:cstheme="minorHAnsi"/>
          <w:sz w:val="22"/>
          <w:szCs w:val="22"/>
          <w:lang w:eastAsia="en-US"/>
        </w:rPr>
        <w:t>test</w:t>
      </w:r>
      <w:proofErr w:type="spellEnd"/>
      <w:r w:rsidRPr="00CF7EBD">
        <w:rPr>
          <w:rFonts w:asciiTheme="minorHAnsi" w:eastAsiaTheme="minorHAnsi" w:hAnsiTheme="minorHAnsi" w:cstheme="minorHAnsi"/>
          <w:sz w:val="22"/>
          <w:szCs w:val="22"/>
          <w:lang w:eastAsia="en-US"/>
        </w:rPr>
        <w:t xml:space="preserve">, </w:t>
      </w:r>
      <w:proofErr w:type="spellStart"/>
      <w:r w:rsidRPr="00CF7EBD">
        <w:rPr>
          <w:rFonts w:asciiTheme="minorHAnsi" w:eastAsiaTheme="minorHAnsi" w:hAnsiTheme="minorHAnsi" w:cstheme="minorHAnsi"/>
          <w:sz w:val="22"/>
          <w:szCs w:val="22"/>
          <w:lang w:eastAsia="en-US"/>
        </w:rPr>
        <w:t>chisq</w:t>
      </w:r>
      <w:proofErr w:type="spellEnd"/>
      <w:r w:rsidRPr="00CF7EBD">
        <w:rPr>
          <w:rFonts w:asciiTheme="minorHAnsi" w:eastAsiaTheme="minorHAnsi" w:hAnsiTheme="minorHAnsi" w:cstheme="minorHAnsi"/>
          <w:sz w:val="22"/>
          <w:szCs w:val="22"/>
          <w:lang w:eastAsia="en-US"/>
        </w:rPr>
        <w:t xml:space="preserve">) έδειξε ότι δεν </w:t>
      </w:r>
      <w:proofErr w:type="spellStart"/>
      <w:r w:rsidRPr="00CF7EBD">
        <w:rPr>
          <w:rFonts w:asciiTheme="minorHAnsi" w:eastAsiaTheme="minorHAnsi" w:hAnsiTheme="minorHAnsi" w:cstheme="minorHAnsi"/>
          <w:sz w:val="22"/>
          <w:szCs w:val="22"/>
          <w:lang w:eastAsia="en-US"/>
        </w:rPr>
        <w:t>πληρούται</w:t>
      </w:r>
      <w:proofErr w:type="spellEnd"/>
      <w:r w:rsidRPr="00CF7EBD">
        <w:rPr>
          <w:rFonts w:asciiTheme="minorHAnsi" w:eastAsiaTheme="minorHAnsi" w:hAnsiTheme="minorHAnsi" w:cstheme="minorHAnsi"/>
          <w:sz w:val="22"/>
          <w:szCs w:val="22"/>
          <w:lang w:eastAsia="en-US"/>
        </w:rPr>
        <w:t xml:space="preserve"> η συνθήκη της πολυδιάστατης κανονικότητας των 13 μεταβλητών που συμμετείχαν στην ανάλυση [</w:t>
      </w:r>
      <w:r w:rsidRPr="00CF7EBD">
        <w:rPr>
          <w:rFonts w:asciiTheme="minorHAnsi" w:eastAsiaTheme="minorHAnsi" w:hAnsiTheme="minorHAnsi" w:cstheme="minorHAnsi"/>
          <w:i/>
          <w:sz w:val="22"/>
          <w:szCs w:val="22"/>
          <w:lang w:eastAsia="en-US"/>
        </w:rPr>
        <w:t>x</w:t>
      </w:r>
      <w:r w:rsidRPr="00CF7EBD">
        <w:rPr>
          <w:rFonts w:asciiTheme="minorHAnsi" w:eastAsiaTheme="minorHAnsi" w:hAnsiTheme="minorHAnsi" w:cstheme="minorHAnsi"/>
          <w:sz w:val="22"/>
          <w:szCs w:val="22"/>
          <w:vertAlign w:val="superscript"/>
          <w:lang w:eastAsia="en-US"/>
        </w:rPr>
        <w:t>2</w:t>
      </w:r>
      <w:r w:rsidRPr="006B66C7">
        <w:rPr>
          <w:rFonts w:asciiTheme="minorHAnsi" w:eastAsiaTheme="minorHAnsi" w:hAnsiTheme="minorHAnsi" w:cstheme="minorHAnsi"/>
          <w:sz w:val="22"/>
          <w:szCs w:val="22"/>
          <w:vertAlign w:val="subscript"/>
          <w:lang w:eastAsia="en-US"/>
        </w:rPr>
        <w:t>(26)</w:t>
      </w:r>
      <w:r w:rsidRPr="00CF7EBD">
        <w:rPr>
          <w:rFonts w:asciiTheme="minorHAnsi" w:eastAsiaTheme="minorHAnsi" w:hAnsiTheme="minorHAnsi" w:cstheme="minorHAnsi"/>
          <w:sz w:val="22"/>
          <w:szCs w:val="22"/>
          <w:lang w:eastAsia="en-US"/>
        </w:rPr>
        <w:t xml:space="preserve"> = 357,719 , </w:t>
      </w:r>
      <w:r w:rsidRPr="00CF7EBD">
        <w:rPr>
          <w:rFonts w:asciiTheme="minorHAnsi" w:eastAsiaTheme="minorHAnsi" w:hAnsiTheme="minorHAnsi" w:cstheme="minorHAnsi"/>
          <w:i/>
          <w:sz w:val="22"/>
          <w:szCs w:val="22"/>
          <w:lang w:eastAsia="en-US"/>
        </w:rPr>
        <w:t>p</w:t>
      </w:r>
      <w:r w:rsidRPr="00CF7EBD">
        <w:rPr>
          <w:rFonts w:asciiTheme="minorHAnsi" w:eastAsiaTheme="minorHAnsi" w:hAnsiTheme="minorHAnsi" w:cstheme="minorHAnsi"/>
          <w:sz w:val="22"/>
          <w:szCs w:val="22"/>
          <w:lang w:eastAsia="en-US"/>
        </w:rPr>
        <w:t xml:space="preserve"> = 0,000]</w:t>
      </w:r>
      <w:r w:rsidRPr="00CF7EBD">
        <w:rPr>
          <w:rFonts w:asciiTheme="minorHAnsi" w:hAnsiTheme="minorHAnsi" w:cstheme="minorHAnsi"/>
          <w:sz w:val="22"/>
          <w:szCs w:val="22"/>
        </w:rPr>
        <w:t xml:space="preserve"> </w:t>
      </w:r>
      <w:r w:rsidRPr="00CF7EBD">
        <w:rPr>
          <w:rFonts w:asciiTheme="minorHAnsi" w:eastAsiaTheme="minorHAnsi" w:hAnsiTheme="minorHAnsi" w:cstheme="minorHAnsi"/>
          <w:sz w:val="22"/>
          <w:szCs w:val="22"/>
          <w:lang w:eastAsia="en-US"/>
        </w:rPr>
        <w:t>(</w:t>
      </w:r>
      <w:proofErr w:type="spellStart"/>
      <w:r w:rsidRPr="00CF7EBD">
        <w:rPr>
          <w:rFonts w:asciiTheme="minorHAnsi" w:eastAsiaTheme="minorHAnsi" w:hAnsiTheme="minorHAnsi" w:cstheme="minorHAnsi"/>
          <w:sz w:val="22"/>
          <w:szCs w:val="22"/>
          <w:lang w:eastAsia="en-US"/>
        </w:rPr>
        <w:t>DeCarlo</w:t>
      </w:r>
      <w:proofErr w:type="spellEnd"/>
      <w:r w:rsidRPr="00CF7EBD">
        <w:rPr>
          <w:rFonts w:asciiTheme="minorHAnsi" w:eastAsiaTheme="minorHAnsi" w:hAnsiTheme="minorHAnsi" w:cstheme="minorHAnsi"/>
          <w:sz w:val="22"/>
          <w:szCs w:val="22"/>
          <w:lang w:eastAsia="en-US"/>
        </w:rPr>
        <w:t xml:space="preserve">, 1997; </w:t>
      </w:r>
      <w:proofErr w:type="spellStart"/>
      <w:r w:rsidRPr="00CF7EBD">
        <w:rPr>
          <w:rFonts w:asciiTheme="minorHAnsi" w:eastAsiaTheme="minorHAnsi" w:hAnsiTheme="minorHAnsi" w:cstheme="minorHAnsi"/>
          <w:sz w:val="22"/>
          <w:szCs w:val="22"/>
          <w:lang w:eastAsia="en-US"/>
        </w:rPr>
        <w:t>Chan</w:t>
      </w:r>
      <w:proofErr w:type="spellEnd"/>
      <w:r w:rsidRPr="00CF7EBD">
        <w:rPr>
          <w:rFonts w:asciiTheme="minorHAnsi" w:eastAsiaTheme="minorHAnsi" w:hAnsiTheme="minorHAnsi" w:cstheme="minorHAnsi"/>
          <w:sz w:val="22"/>
          <w:szCs w:val="22"/>
          <w:lang w:eastAsia="en-US"/>
        </w:rPr>
        <w:t xml:space="preserve">, </w:t>
      </w:r>
      <w:r w:rsidR="00A9210C">
        <w:rPr>
          <w:rFonts w:asciiTheme="minorHAnsi" w:eastAsiaTheme="minorHAnsi" w:hAnsiTheme="minorHAnsi" w:cstheme="minorHAnsi"/>
          <w:sz w:val="22"/>
          <w:szCs w:val="22"/>
          <w:lang w:val="en-US" w:eastAsia="en-US"/>
        </w:rPr>
        <w:t>et</w:t>
      </w:r>
      <w:r w:rsidR="00A9210C" w:rsidRPr="00A9210C">
        <w:rPr>
          <w:rFonts w:asciiTheme="minorHAnsi" w:eastAsiaTheme="minorHAnsi" w:hAnsiTheme="minorHAnsi" w:cstheme="minorHAnsi"/>
          <w:sz w:val="22"/>
          <w:szCs w:val="22"/>
          <w:lang w:eastAsia="en-US"/>
        </w:rPr>
        <w:t xml:space="preserve"> </w:t>
      </w:r>
      <w:r w:rsidR="00A9210C">
        <w:rPr>
          <w:rFonts w:asciiTheme="minorHAnsi" w:eastAsiaTheme="minorHAnsi" w:hAnsiTheme="minorHAnsi" w:cstheme="minorHAnsi"/>
          <w:sz w:val="22"/>
          <w:szCs w:val="22"/>
          <w:lang w:val="en-US" w:eastAsia="en-US"/>
        </w:rPr>
        <w:t>al</w:t>
      </w:r>
      <w:r w:rsidR="00A9210C" w:rsidRPr="00A9210C">
        <w:rPr>
          <w:rFonts w:asciiTheme="minorHAnsi" w:eastAsiaTheme="minorHAnsi" w:hAnsiTheme="minorHAnsi" w:cstheme="minorHAnsi"/>
          <w:sz w:val="22"/>
          <w:szCs w:val="22"/>
          <w:lang w:eastAsia="en-US"/>
        </w:rPr>
        <w:t>.</w:t>
      </w:r>
      <w:r w:rsidRPr="00CF7EBD">
        <w:rPr>
          <w:rFonts w:asciiTheme="minorHAnsi" w:eastAsiaTheme="minorHAnsi" w:hAnsiTheme="minorHAnsi" w:cstheme="minorHAnsi"/>
          <w:sz w:val="22"/>
          <w:szCs w:val="22"/>
          <w:lang w:eastAsia="en-US"/>
        </w:rPr>
        <w:t>, 1983).</w:t>
      </w:r>
      <w:r w:rsidR="007F303C" w:rsidRPr="007F303C">
        <w:rPr>
          <w:rFonts w:asciiTheme="minorHAnsi" w:eastAsiaTheme="minorHAnsi" w:hAnsiTheme="minorHAnsi" w:cstheme="minorHAnsi"/>
          <w:sz w:val="22"/>
          <w:szCs w:val="22"/>
          <w:lang w:eastAsia="en-US"/>
        </w:rPr>
        <w:t xml:space="preserve">  </w:t>
      </w:r>
      <w:r w:rsidR="001062F9" w:rsidRPr="00CF7EBD">
        <w:rPr>
          <w:rFonts w:asciiTheme="minorHAnsi" w:hAnsiTheme="minorHAnsi" w:cstheme="minorHAnsi"/>
          <w:sz w:val="22"/>
          <w:szCs w:val="22"/>
        </w:rPr>
        <w:t>Ωστόσο, οι τιμές ασυμμετρίας και κύρτωσης των ερωτημάτων της κλίμακας δεν υπερβαίνουν τα όρια των │3│ και │10│αντίστοιχα, καταδεικνύοντας ότι δεν έχουμε ενδείξεις δραματικών αποκλίσεων από την κανονικότητα (</w:t>
      </w:r>
      <w:r w:rsidR="001062F9" w:rsidRPr="00CF7EBD">
        <w:rPr>
          <w:rFonts w:asciiTheme="minorHAnsi" w:hAnsiTheme="minorHAnsi" w:cstheme="minorHAnsi"/>
          <w:sz w:val="22"/>
          <w:szCs w:val="22"/>
          <w:lang w:val="en-US"/>
        </w:rPr>
        <w:t>Kline</w:t>
      </w:r>
      <w:r w:rsidR="001062F9" w:rsidRPr="00CF7EBD">
        <w:rPr>
          <w:rFonts w:asciiTheme="minorHAnsi" w:hAnsiTheme="minorHAnsi" w:cstheme="minorHAnsi"/>
          <w:sz w:val="22"/>
          <w:szCs w:val="22"/>
        </w:rPr>
        <w:t xml:space="preserve">, 2005) </w:t>
      </w:r>
      <w:r w:rsidR="007F303C" w:rsidRPr="007F303C">
        <w:rPr>
          <w:rFonts w:asciiTheme="minorHAnsi" w:eastAsiaTheme="minorHAnsi" w:hAnsiTheme="minorHAnsi" w:cstheme="minorHAnsi"/>
          <w:sz w:val="22"/>
          <w:szCs w:val="22"/>
          <w:lang w:eastAsia="en-US"/>
        </w:rPr>
        <w:t xml:space="preserve"> </w:t>
      </w:r>
      <w:r w:rsidRPr="00CF7EBD">
        <w:rPr>
          <w:rFonts w:asciiTheme="minorHAnsi" w:eastAsia="Calibri" w:hAnsiTheme="minorHAnsi" w:cstheme="minorHAnsi"/>
          <w:color w:val="000000"/>
          <w:sz w:val="22"/>
          <w:szCs w:val="22"/>
        </w:rPr>
        <w:t xml:space="preserve">Οι δείκτες καλής προσαρμογής για το αρχικό Μοντέλο_1 έδειξαν ικανοποιητική προσαρμογή </w:t>
      </w:r>
      <w:r w:rsidRPr="00CF7EBD">
        <w:rPr>
          <w:rFonts w:asciiTheme="minorHAnsi" w:eastAsia="Calibri" w:hAnsiTheme="minorHAnsi" w:cstheme="minorHAnsi"/>
          <w:bCs/>
          <w:sz w:val="22"/>
          <w:szCs w:val="22"/>
        </w:rPr>
        <w:t>[</w:t>
      </w:r>
      <w:r w:rsidRPr="00CF7EBD">
        <w:rPr>
          <w:rFonts w:asciiTheme="minorHAnsi" w:eastAsia="Calibri" w:hAnsiTheme="minorHAnsi" w:cstheme="minorHAnsi"/>
          <w:bCs/>
          <w:i/>
          <w:sz w:val="22"/>
          <w:szCs w:val="22"/>
          <w:lang w:val="en-US"/>
        </w:rPr>
        <w:t>X</w:t>
      </w:r>
      <w:r w:rsidRPr="00CF7EBD">
        <w:rPr>
          <w:rFonts w:asciiTheme="minorHAnsi" w:eastAsia="Calibri" w:hAnsiTheme="minorHAnsi" w:cstheme="minorHAnsi"/>
          <w:bCs/>
          <w:sz w:val="22"/>
          <w:szCs w:val="22"/>
          <w:vertAlign w:val="superscript"/>
        </w:rPr>
        <w:t>2</w:t>
      </w:r>
      <w:r w:rsidRPr="00CF7EBD">
        <w:rPr>
          <w:rFonts w:asciiTheme="minorHAnsi" w:eastAsia="Calibri" w:hAnsiTheme="minorHAnsi" w:cstheme="minorHAnsi"/>
          <w:bCs/>
          <w:sz w:val="22"/>
          <w:szCs w:val="22"/>
        </w:rPr>
        <w:t>/</w:t>
      </w:r>
      <w:r w:rsidRPr="00CF7EBD">
        <w:rPr>
          <w:rFonts w:asciiTheme="minorHAnsi" w:eastAsia="Calibri" w:hAnsiTheme="minorHAnsi" w:cstheme="minorHAnsi"/>
          <w:bCs/>
          <w:i/>
          <w:sz w:val="22"/>
          <w:szCs w:val="22"/>
          <w:lang w:val="en-US"/>
        </w:rPr>
        <w:t>df</w:t>
      </w:r>
      <w:r w:rsidRPr="00CF7EBD">
        <w:rPr>
          <w:rFonts w:asciiTheme="minorHAnsi" w:eastAsia="Calibri" w:hAnsiTheme="minorHAnsi" w:cstheme="minorHAnsi"/>
          <w:bCs/>
          <w:i/>
          <w:sz w:val="22"/>
          <w:szCs w:val="22"/>
        </w:rPr>
        <w:t xml:space="preserve"> </w:t>
      </w:r>
      <w:r w:rsidRPr="00CF7EBD">
        <w:rPr>
          <w:rFonts w:asciiTheme="minorHAnsi" w:eastAsia="Calibri" w:hAnsiTheme="minorHAnsi" w:cstheme="minorHAnsi"/>
          <w:bCs/>
          <w:sz w:val="22"/>
          <w:szCs w:val="22"/>
        </w:rPr>
        <w:t xml:space="preserve">= 2,871, NFI = 0,918, RFI = 0,897, IFI = 0,945, </w:t>
      </w:r>
      <w:r w:rsidRPr="00CF7EBD">
        <w:rPr>
          <w:rFonts w:asciiTheme="minorHAnsi" w:eastAsia="Calibri" w:hAnsiTheme="minorHAnsi" w:cstheme="minorHAnsi"/>
          <w:bCs/>
          <w:sz w:val="22"/>
          <w:szCs w:val="22"/>
          <w:lang w:val="en-US"/>
        </w:rPr>
        <w:t>TLI</w:t>
      </w:r>
      <w:r w:rsidRPr="00CF7EBD">
        <w:rPr>
          <w:rFonts w:asciiTheme="minorHAnsi" w:eastAsia="Calibri" w:hAnsiTheme="minorHAnsi" w:cstheme="minorHAnsi"/>
          <w:bCs/>
          <w:sz w:val="22"/>
          <w:szCs w:val="22"/>
        </w:rPr>
        <w:t xml:space="preserve"> = 0,931, </w:t>
      </w:r>
      <w:r w:rsidRPr="00CF7EBD">
        <w:rPr>
          <w:rFonts w:asciiTheme="minorHAnsi" w:eastAsia="Calibri" w:hAnsiTheme="minorHAnsi" w:cstheme="minorHAnsi"/>
          <w:bCs/>
          <w:sz w:val="22"/>
          <w:szCs w:val="22"/>
          <w:lang w:val="en-US"/>
        </w:rPr>
        <w:t>CFI</w:t>
      </w:r>
      <w:r w:rsidRPr="00CF7EBD">
        <w:rPr>
          <w:rFonts w:asciiTheme="minorHAnsi" w:eastAsia="Calibri" w:hAnsiTheme="minorHAnsi" w:cstheme="minorHAnsi"/>
          <w:bCs/>
          <w:sz w:val="22"/>
          <w:szCs w:val="22"/>
        </w:rPr>
        <w:t xml:space="preserve"> = 0,945, GFI = 0,898, </w:t>
      </w:r>
      <w:bookmarkStart w:id="3" w:name="_Hlk149851818"/>
      <w:r w:rsidRPr="00CF7EBD">
        <w:rPr>
          <w:rFonts w:asciiTheme="minorHAnsi" w:eastAsia="Calibri" w:hAnsiTheme="minorHAnsi" w:cstheme="minorHAnsi"/>
          <w:bCs/>
          <w:sz w:val="22"/>
          <w:szCs w:val="22"/>
        </w:rPr>
        <w:t xml:space="preserve">AGFI = </w:t>
      </w:r>
      <w:bookmarkEnd w:id="3"/>
      <w:r w:rsidRPr="00CF7EBD">
        <w:rPr>
          <w:rFonts w:asciiTheme="minorHAnsi" w:eastAsia="Calibri" w:hAnsiTheme="minorHAnsi" w:cstheme="minorHAnsi"/>
          <w:bCs/>
          <w:sz w:val="22"/>
          <w:szCs w:val="22"/>
        </w:rPr>
        <w:t xml:space="preserve">0,850, RMSEA (90% CI) = 0,088 (0,073 - 0,103), </w:t>
      </w:r>
      <w:bookmarkStart w:id="4" w:name="_Hlk149767118"/>
      <w:r w:rsidRPr="00CF7EBD">
        <w:rPr>
          <w:rFonts w:asciiTheme="minorHAnsi" w:eastAsia="Calibri" w:hAnsiTheme="minorHAnsi" w:cstheme="minorHAnsi"/>
          <w:bCs/>
          <w:sz w:val="22"/>
          <w:szCs w:val="22"/>
        </w:rPr>
        <w:t xml:space="preserve">RMR = </w:t>
      </w:r>
      <w:bookmarkEnd w:id="4"/>
      <w:r w:rsidRPr="00CF7EBD">
        <w:rPr>
          <w:rFonts w:asciiTheme="minorHAnsi" w:eastAsia="Calibri" w:hAnsiTheme="minorHAnsi" w:cstheme="minorHAnsi"/>
          <w:bCs/>
          <w:sz w:val="22"/>
          <w:szCs w:val="22"/>
        </w:rPr>
        <w:t xml:space="preserve">0,088, SRMR = 0,079] </w:t>
      </w:r>
      <w:r w:rsidRPr="006B66C7">
        <w:rPr>
          <w:rFonts w:asciiTheme="minorHAnsi" w:eastAsia="Calibri" w:hAnsiTheme="minorHAnsi" w:cstheme="minorHAnsi"/>
          <w:bCs/>
          <w:sz w:val="22"/>
          <w:szCs w:val="22"/>
        </w:rPr>
        <w:t>(Πίνακα</w:t>
      </w:r>
      <w:r w:rsidR="006329C2" w:rsidRPr="006B66C7">
        <w:rPr>
          <w:rFonts w:asciiTheme="minorHAnsi" w:eastAsia="Calibri" w:hAnsiTheme="minorHAnsi" w:cstheme="minorHAnsi"/>
          <w:bCs/>
          <w:sz w:val="22"/>
          <w:szCs w:val="22"/>
        </w:rPr>
        <w:t>ς</w:t>
      </w:r>
      <w:r w:rsidRPr="006B66C7">
        <w:rPr>
          <w:rFonts w:asciiTheme="minorHAnsi" w:eastAsia="Calibri" w:hAnsiTheme="minorHAnsi" w:cstheme="minorHAnsi"/>
          <w:bCs/>
          <w:sz w:val="22"/>
          <w:szCs w:val="22"/>
        </w:rPr>
        <w:t xml:space="preserve"> </w:t>
      </w:r>
      <w:r w:rsidR="006135D5">
        <w:rPr>
          <w:rFonts w:asciiTheme="minorHAnsi" w:eastAsia="Calibri" w:hAnsiTheme="minorHAnsi" w:cstheme="minorHAnsi"/>
          <w:bCs/>
          <w:sz w:val="22"/>
          <w:szCs w:val="22"/>
        </w:rPr>
        <w:t>3</w:t>
      </w:r>
      <w:r w:rsidRPr="006B66C7">
        <w:rPr>
          <w:rFonts w:asciiTheme="minorHAnsi" w:eastAsia="Calibri" w:hAnsiTheme="minorHAnsi" w:cstheme="minorHAnsi"/>
          <w:bCs/>
          <w:sz w:val="22"/>
          <w:szCs w:val="22"/>
        </w:rPr>
        <w:t>).</w:t>
      </w:r>
      <w:r w:rsidRPr="00CF7EBD">
        <w:rPr>
          <w:rFonts w:asciiTheme="minorHAnsi" w:eastAsia="Calibri" w:hAnsiTheme="minorHAnsi" w:cstheme="minorHAnsi"/>
          <w:bCs/>
          <w:sz w:val="22"/>
          <w:szCs w:val="22"/>
        </w:rPr>
        <w:t xml:space="preserve"> </w:t>
      </w:r>
    </w:p>
    <w:p w14:paraId="16240871" w14:textId="734B39DE" w:rsidR="006135D5" w:rsidRPr="007F303C" w:rsidRDefault="006135D5" w:rsidP="007F303C">
      <w:pPr>
        <w:ind w:firstLine="284"/>
        <w:jc w:val="both"/>
        <w:rPr>
          <w:rFonts w:asciiTheme="minorHAnsi" w:eastAsiaTheme="minorHAnsi" w:hAnsiTheme="minorHAnsi" w:cstheme="minorHAnsi"/>
          <w:sz w:val="22"/>
          <w:szCs w:val="22"/>
          <w:lang w:eastAsia="en-US"/>
        </w:rPr>
      </w:pPr>
      <w:r w:rsidRPr="00CF7EBD">
        <w:rPr>
          <w:rFonts w:asciiTheme="minorHAnsi" w:eastAsia="Calibri" w:hAnsiTheme="minorHAnsi" w:cstheme="minorHAnsi"/>
          <w:bCs/>
          <w:sz w:val="22"/>
          <w:szCs w:val="22"/>
        </w:rPr>
        <w:t xml:space="preserve">Ωστόσο, αφήνοντας τις διακυμάνσεις των σφαλμάτων των ερωτήσεων </w:t>
      </w:r>
      <w:r w:rsidRPr="00CF7EBD">
        <w:rPr>
          <w:rFonts w:asciiTheme="minorHAnsi" w:eastAsia="Calibri" w:hAnsiTheme="minorHAnsi" w:cstheme="minorHAnsi"/>
          <w:bCs/>
          <w:sz w:val="22"/>
          <w:szCs w:val="22"/>
          <w:lang w:val="en-US"/>
        </w:rPr>
        <w:t>Social</w:t>
      </w:r>
      <w:r w:rsidRPr="00CF7EBD">
        <w:rPr>
          <w:rFonts w:asciiTheme="minorHAnsi" w:eastAsia="Calibri" w:hAnsiTheme="minorHAnsi" w:cstheme="minorHAnsi"/>
          <w:bCs/>
          <w:sz w:val="22"/>
          <w:szCs w:val="22"/>
        </w:rPr>
        <w:t xml:space="preserve"> </w:t>
      </w:r>
      <w:r w:rsidRPr="00CF7EBD">
        <w:rPr>
          <w:rFonts w:asciiTheme="minorHAnsi" w:eastAsia="Calibri" w:hAnsiTheme="minorHAnsi" w:cstheme="minorHAnsi"/>
          <w:bCs/>
          <w:sz w:val="22"/>
          <w:szCs w:val="22"/>
          <w:lang w:val="en-US"/>
        </w:rPr>
        <w:t>interaction</w:t>
      </w:r>
      <w:r w:rsidRPr="00CF7EBD">
        <w:rPr>
          <w:rFonts w:asciiTheme="minorHAnsi" w:eastAsia="Calibri" w:hAnsiTheme="minorHAnsi" w:cstheme="minorHAnsi"/>
          <w:bCs/>
          <w:sz w:val="22"/>
          <w:szCs w:val="22"/>
        </w:rPr>
        <w:t xml:space="preserve">7 και </w:t>
      </w:r>
      <w:r w:rsidRPr="00CF7EBD">
        <w:rPr>
          <w:rFonts w:asciiTheme="minorHAnsi" w:eastAsia="Calibri" w:hAnsiTheme="minorHAnsi" w:cstheme="minorHAnsi"/>
          <w:bCs/>
          <w:sz w:val="22"/>
          <w:szCs w:val="22"/>
          <w:lang w:val="en-US"/>
        </w:rPr>
        <w:t>Social</w:t>
      </w:r>
      <w:r w:rsidRPr="00CF7EBD">
        <w:rPr>
          <w:rFonts w:asciiTheme="minorHAnsi" w:eastAsia="Calibri" w:hAnsiTheme="minorHAnsi" w:cstheme="minorHAnsi"/>
          <w:bCs/>
          <w:sz w:val="22"/>
          <w:szCs w:val="22"/>
        </w:rPr>
        <w:t xml:space="preserve"> </w:t>
      </w:r>
      <w:r w:rsidRPr="00CF7EBD">
        <w:rPr>
          <w:rFonts w:asciiTheme="minorHAnsi" w:eastAsia="Calibri" w:hAnsiTheme="minorHAnsi" w:cstheme="minorHAnsi"/>
          <w:bCs/>
          <w:sz w:val="22"/>
          <w:szCs w:val="22"/>
          <w:lang w:val="en-US"/>
        </w:rPr>
        <w:t>interaction</w:t>
      </w:r>
      <w:r w:rsidRPr="00CF7EBD">
        <w:rPr>
          <w:rFonts w:asciiTheme="minorHAnsi" w:eastAsia="Calibri" w:hAnsiTheme="minorHAnsi" w:cstheme="minorHAnsi"/>
          <w:bCs/>
          <w:sz w:val="22"/>
          <w:szCs w:val="22"/>
        </w:rPr>
        <w:t xml:space="preserve">4, </w:t>
      </w:r>
      <w:r w:rsidRPr="00CF7EBD">
        <w:rPr>
          <w:rFonts w:asciiTheme="minorHAnsi" w:eastAsia="Calibri" w:hAnsiTheme="minorHAnsi" w:cstheme="minorHAnsi"/>
          <w:bCs/>
          <w:sz w:val="22"/>
          <w:szCs w:val="22"/>
          <w:lang w:val="en-US"/>
        </w:rPr>
        <w:t>Social</w:t>
      </w:r>
      <w:r w:rsidRPr="00CF7EBD">
        <w:rPr>
          <w:rFonts w:asciiTheme="minorHAnsi" w:eastAsia="Calibri" w:hAnsiTheme="minorHAnsi" w:cstheme="minorHAnsi"/>
          <w:bCs/>
          <w:sz w:val="22"/>
          <w:szCs w:val="22"/>
        </w:rPr>
        <w:t xml:space="preserve"> </w:t>
      </w:r>
      <w:r w:rsidRPr="00CF7EBD">
        <w:rPr>
          <w:rFonts w:asciiTheme="minorHAnsi" w:eastAsia="Calibri" w:hAnsiTheme="minorHAnsi" w:cstheme="minorHAnsi"/>
          <w:bCs/>
          <w:sz w:val="22"/>
          <w:szCs w:val="22"/>
          <w:lang w:val="en-US"/>
        </w:rPr>
        <w:t>interaction</w:t>
      </w:r>
      <w:r w:rsidRPr="00CF7EBD">
        <w:rPr>
          <w:rFonts w:asciiTheme="minorHAnsi" w:eastAsia="Calibri" w:hAnsiTheme="minorHAnsi" w:cstheme="minorHAnsi"/>
          <w:bCs/>
          <w:sz w:val="22"/>
          <w:szCs w:val="22"/>
        </w:rPr>
        <w:t xml:space="preserve">5 και </w:t>
      </w:r>
      <w:r w:rsidRPr="00CF7EBD">
        <w:rPr>
          <w:rFonts w:asciiTheme="minorHAnsi" w:eastAsia="Calibri" w:hAnsiTheme="minorHAnsi" w:cstheme="minorHAnsi"/>
          <w:bCs/>
          <w:sz w:val="22"/>
          <w:szCs w:val="22"/>
          <w:lang w:val="en-US"/>
        </w:rPr>
        <w:t>Social</w:t>
      </w:r>
      <w:r w:rsidRPr="00CF7EBD">
        <w:rPr>
          <w:rFonts w:asciiTheme="minorHAnsi" w:eastAsia="Calibri" w:hAnsiTheme="minorHAnsi" w:cstheme="minorHAnsi"/>
          <w:bCs/>
          <w:sz w:val="22"/>
          <w:szCs w:val="22"/>
        </w:rPr>
        <w:t xml:space="preserve"> </w:t>
      </w:r>
      <w:r w:rsidRPr="00CF7EBD">
        <w:rPr>
          <w:rFonts w:asciiTheme="minorHAnsi" w:eastAsia="Calibri" w:hAnsiTheme="minorHAnsi" w:cstheme="minorHAnsi"/>
          <w:bCs/>
          <w:sz w:val="22"/>
          <w:szCs w:val="22"/>
          <w:lang w:val="en-US"/>
        </w:rPr>
        <w:t>interaction</w:t>
      </w:r>
      <w:r w:rsidRPr="00CF7EBD">
        <w:rPr>
          <w:rFonts w:asciiTheme="minorHAnsi" w:eastAsia="Calibri" w:hAnsiTheme="minorHAnsi" w:cstheme="minorHAnsi"/>
          <w:bCs/>
          <w:sz w:val="22"/>
          <w:szCs w:val="22"/>
        </w:rPr>
        <w:t xml:space="preserve">3 να </w:t>
      </w:r>
      <w:proofErr w:type="spellStart"/>
      <w:r w:rsidRPr="00CF7EBD">
        <w:rPr>
          <w:rFonts w:asciiTheme="minorHAnsi" w:eastAsia="Calibri" w:hAnsiTheme="minorHAnsi" w:cstheme="minorHAnsi"/>
          <w:bCs/>
          <w:sz w:val="22"/>
          <w:szCs w:val="22"/>
        </w:rPr>
        <w:t>συμμεταβάλλονται</w:t>
      </w:r>
      <w:proofErr w:type="spellEnd"/>
      <w:r w:rsidRPr="00CF7EBD">
        <w:rPr>
          <w:rFonts w:asciiTheme="minorHAnsi" w:eastAsia="Calibri" w:hAnsiTheme="minorHAnsi" w:cstheme="minorHAnsi"/>
          <w:bCs/>
          <w:sz w:val="22"/>
          <w:szCs w:val="22"/>
        </w:rPr>
        <w:t xml:space="preserve"> -</w:t>
      </w:r>
      <w:r w:rsidRPr="00CF7EBD">
        <w:rPr>
          <w:rFonts w:asciiTheme="minorHAnsi" w:eastAsia="Calibri" w:hAnsiTheme="minorHAnsi" w:cstheme="minorHAnsi"/>
          <w:bCs/>
          <w:sz w:val="22"/>
          <w:szCs w:val="22"/>
        </w:rPr>
        <w:lastRenderedPageBreak/>
        <w:t>όπως μας υπέδειξαν οι δείκτες τροποποίησης, η προσαρμογή του μοντέλου βελτιώνεται Μοντέλο_1α: [</w:t>
      </w:r>
      <w:r w:rsidRPr="00CF7EBD">
        <w:rPr>
          <w:rFonts w:asciiTheme="minorHAnsi" w:eastAsia="Calibri" w:hAnsiTheme="minorHAnsi" w:cstheme="minorHAnsi"/>
          <w:bCs/>
          <w:i/>
          <w:sz w:val="22"/>
          <w:szCs w:val="22"/>
          <w:lang w:val="en-US"/>
        </w:rPr>
        <w:t>X</w:t>
      </w:r>
      <w:r w:rsidRPr="00CF7EBD">
        <w:rPr>
          <w:rFonts w:asciiTheme="minorHAnsi" w:eastAsia="Calibri" w:hAnsiTheme="minorHAnsi" w:cstheme="minorHAnsi"/>
          <w:bCs/>
          <w:sz w:val="22"/>
          <w:szCs w:val="22"/>
          <w:vertAlign w:val="superscript"/>
        </w:rPr>
        <w:t>2</w:t>
      </w:r>
      <w:r w:rsidRPr="00CF7EBD">
        <w:rPr>
          <w:rFonts w:asciiTheme="minorHAnsi" w:eastAsia="Calibri" w:hAnsiTheme="minorHAnsi" w:cstheme="minorHAnsi"/>
          <w:bCs/>
          <w:sz w:val="22"/>
          <w:szCs w:val="22"/>
        </w:rPr>
        <w:t>/</w:t>
      </w:r>
      <w:r w:rsidRPr="00CF7EBD">
        <w:rPr>
          <w:rFonts w:asciiTheme="minorHAnsi" w:eastAsia="Calibri" w:hAnsiTheme="minorHAnsi" w:cstheme="minorHAnsi"/>
          <w:bCs/>
          <w:i/>
          <w:sz w:val="22"/>
          <w:szCs w:val="22"/>
          <w:lang w:val="en-US"/>
        </w:rPr>
        <w:t>df</w:t>
      </w:r>
      <w:r w:rsidRPr="00CF7EBD">
        <w:rPr>
          <w:rFonts w:asciiTheme="minorHAnsi" w:eastAsia="Calibri" w:hAnsiTheme="minorHAnsi" w:cstheme="minorHAnsi"/>
          <w:bCs/>
          <w:i/>
          <w:sz w:val="22"/>
          <w:szCs w:val="22"/>
        </w:rPr>
        <w:t xml:space="preserve"> </w:t>
      </w:r>
      <w:r w:rsidRPr="00CF7EBD">
        <w:rPr>
          <w:rFonts w:asciiTheme="minorHAnsi" w:eastAsia="Calibri" w:hAnsiTheme="minorHAnsi" w:cstheme="minorHAnsi"/>
          <w:bCs/>
          <w:sz w:val="22"/>
          <w:szCs w:val="22"/>
        </w:rPr>
        <w:t xml:space="preserve">= 2,365, NFI = 0,933, RFI = 0,915, IFI = 0,960, </w:t>
      </w:r>
      <w:r w:rsidRPr="00CF7EBD">
        <w:rPr>
          <w:rFonts w:asciiTheme="minorHAnsi" w:eastAsia="Calibri" w:hAnsiTheme="minorHAnsi" w:cstheme="minorHAnsi"/>
          <w:bCs/>
          <w:sz w:val="22"/>
          <w:szCs w:val="22"/>
          <w:lang w:val="en-US"/>
        </w:rPr>
        <w:t>TLI</w:t>
      </w:r>
      <w:r w:rsidRPr="00CF7EBD">
        <w:rPr>
          <w:rFonts w:asciiTheme="minorHAnsi" w:eastAsia="Calibri" w:hAnsiTheme="minorHAnsi" w:cstheme="minorHAnsi"/>
          <w:bCs/>
          <w:sz w:val="22"/>
          <w:szCs w:val="22"/>
        </w:rPr>
        <w:t xml:space="preserve"> = 0,949, </w:t>
      </w:r>
      <w:r w:rsidRPr="00CF7EBD">
        <w:rPr>
          <w:rFonts w:asciiTheme="minorHAnsi" w:eastAsia="Calibri" w:hAnsiTheme="minorHAnsi" w:cstheme="minorHAnsi"/>
          <w:bCs/>
          <w:sz w:val="22"/>
          <w:szCs w:val="22"/>
          <w:lang w:val="en-US"/>
        </w:rPr>
        <w:t>CFI</w:t>
      </w:r>
      <w:r w:rsidRPr="00CF7EBD">
        <w:rPr>
          <w:rFonts w:asciiTheme="minorHAnsi" w:eastAsia="Calibri" w:hAnsiTheme="minorHAnsi" w:cstheme="minorHAnsi"/>
          <w:bCs/>
          <w:sz w:val="22"/>
          <w:szCs w:val="22"/>
        </w:rPr>
        <w:t xml:space="preserve"> = 0,960, GFI = 0,916, AGFI = 0,877, RMSEA (90% CI) = 0,075 (0,059 - 0,091), RMR = 0,087, SRMR = 0,078] </w:t>
      </w:r>
      <w:r w:rsidRPr="001D7392">
        <w:rPr>
          <w:rFonts w:asciiTheme="minorHAnsi" w:eastAsia="Calibri" w:hAnsiTheme="minorHAnsi" w:cstheme="minorHAnsi"/>
          <w:bCs/>
          <w:sz w:val="22"/>
          <w:szCs w:val="22"/>
        </w:rPr>
        <w:t xml:space="preserve">(Πίνακας </w:t>
      </w:r>
      <w:r w:rsidR="00CE46EA" w:rsidRPr="001D7392">
        <w:rPr>
          <w:rFonts w:asciiTheme="minorHAnsi" w:eastAsia="Calibri" w:hAnsiTheme="minorHAnsi" w:cstheme="minorHAnsi"/>
          <w:bCs/>
          <w:sz w:val="22"/>
          <w:szCs w:val="22"/>
        </w:rPr>
        <w:t>3</w:t>
      </w:r>
      <w:r w:rsidRPr="001D7392">
        <w:rPr>
          <w:rFonts w:asciiTheme="minorHAnsi" w:eastAsia="Calibri" w:hAnsiTheme="minorHAnsi" w:cstheme="minorHAnsi"/>
          <w:bCs/>
          <w:sz w:val="22"/>
          <w:szCs w:val="22"/>
        </w:rPr>
        <w:t xml:space="preserve">). </w:t>
      </w:r>
      <w:r w:rsidRPr="001D7392">
        <w:rPr>
          <w:rFonts w:asciiTheme="minorHAnsi" w:eastAsia="Calibri" w:hAnsiTheme="minorHAnsi" w:cstheme="minorHAnsi"/>
          <w:color w:val="000000"/>
          <w:sz w:val="22"/>
          <w:szCs w:val="22"/>
        </w:rPr>
        <w:t>Προκειμένου</w:t>
      </w:r>
      <w:r w:rsidRPr="00CF7EBD">
        <w:rPr>
          <w:rFonts w:asciiTheme="minorHAnsi" w:eastAsia="Calibri" w:hAnsiTheme="minorHAnsi" w:cstheme="minorHAnsi"/>
          <w:color w:val="000000"/>
          <w:sz w:val="22"/>
          <w:szCs w:val="22"/>
        </w:rPr>
        <w:t xml:space="preserve"> να ελέγξουμε αν οι παράγοντες του Μοντέλου</w:t>
      </w:r>
      <w:r w:rsidRPr="00CF7EBD">
        <w:rPr>
          <w:rFonts w:asciiTheme="minorHAnsi" w:eastAsia="Calibri" w:hAnsiTheme="minorHAnsi" w:cstheme="minorHAnsi"/>
          <w:bCs/>
          <w:sz w:val="22"/>
          <w:szCs w:val="22"/>
        </w:rPr>
        <w:t>1</w:t>
      </w:r>
      <w:r w:rsidRPr="00CF7EBD">
        <w:rPr>
          <w:rFonts w:asciiTheme="minorHAnsi" w:eastAsia="Calibri" w:hAnsiTheme="minorHAnsi" w:cstheme="minorHAnsi"/>
          <w:bCs/>
          <w:sz w:val="22"/>
          <w:szCs w:val="22"/>
          <w:vertAlign w:val="subscript"/>
        </w:rPr>
        <w:t>α</w:t>
      </w:r>
      <w:r w:rsidRPr="00CF7EBD">
        <w:rPr>
          <w:rFonts w:asciiTheme="minorHAnsi" w:eastAsia="Calibri" w:hAnsiTheme="minorHAnsi" w:cstheme="minorHAnsi"/>
          <w:color w:val="000000"/>
          <w:sz w:val="22"/>
          <w:szCs w:val="22"/>
        </w:rPr>
        <w:t xml:space="preserve"> μετράνε όντως διαφορετικές έννοιες, συγκρίνουμε το μοντέλο μέτρησης όπου επιτρέπουμε στους παράγοντες να συσχετίζονται ελεύθερα (Μοντέλο1</w:t>
      </w:r>
      <w:r w:rsidRPr="00CF7EBD">
        <w:rPr>
          <w:rFonts w:asciiTheme="minorHAnsi" w:eastAsia="Calibri" w:hAnsiTheme="minorHAnsi" w:cstheme="minorHAnsi"/>
          <w:color w:val="000000"/>
          <w:sz w:val="22"/>
          <w:szCs w:val="22"/>
          <w:vertAlign w:val="subscript"/>
        </w:rPr>
        <w:t>α</w:t>
      </w:r>
      <w:r w:rsidRPr="00CF7EBD">
        <w:rPr>
          <w:rFonts w:asciiTheme="minorHAnsi" w:eastAsia="Calibri" w:hAnsiTheme="minorHAnsi" w:cstheme="minorHAnsi"/>
          <w:color w:val="000000"/>
          <w:sz w:val="22"/>
          <w:szCs w:val="22"/>
        </w:rPr>
        <w:t>) με ένα μοντέλο μέτρησης όπου οι συσχετίσεις ανάμεσα στους παράγοντες θέτονται ίσοι με τη μονάδα</w:t>
      </w:r>
      <w:r w:rsidR="00A73EDA">
        <w:rPr>
          <w:rFonts w:asciiTheme="minorHAnsi" w:eastAsia="Calibri" w:hAnsiTheme="minorHAnsi" w:cstheme="minorHAnsi"/>
          <w:color w:val="000000"/>
          <w:sz w:val="22"/>
          <w:szCs w:val="22"/>
        </w:rPr>
        <w:t xml:space="preserve"> (</w:t>
      </w:r>
      <w:r w:rsidR="00A73EDA" w:rsidRPr="00CF7EBD">
        <w:rPr>
          <w:rFonts w:asciiTheme="minorHAnsi" w:eastAsia="Calibri" w:hAnsiTheme="minorHAnsi" w:cstheme="minorHAnsi"/>
          <w:color w:val="000000"/>
          <w:sz w:val="22"/>
          <w:szCs w:val="22"/>
        </w:rPr>
        <w:t>Μοντέλο1</w:t>
      </w:r>
      <w:r w:rsidR="00A73EDA">
        <w:rPr>
          <w:rFonts w:asciiTheme="minorHAnsi" w:eastAsia="Calibri" w:hAnsiTheme="minorHAnsi" w:cstheme="minorHAnsi"/>
          <w:color w:val="000000"/>
          <w:sz w:val="22"/>
          <w:szCs w:val="22"/>
          <w:vertAlign w:val="subscript"/>
        </w:rPr>
        <w:t>β</w:t>
      </w:r>
      <w:r w:rsidR="00A73EDA" w:rsidRPr="00A73EDA">
        <w:rPr>
          <w:rFonts w:asciiTheme="minorHAnsi" w:eastAsia="Calibri" w:hAnsiTheme="minorHAnsi" w:cstheme="minorHAnsi"/>
          <w:color w:val="000000"/>
          <w:sz w:val="22"/>
          <w:szCs w:val="22"/>
        </w:rPr>
        <w:t>)</w:t>
      </w:r>
      <w:r w:rsidRPr="00CF7EBD">
        <w:rPr>
          <w:rFonts w:asciiTheme="minorHAnsi" w:eastAsia="Calibri" w:hAnsiTheme="minorHAnsi" w:cstheme="minorHAnsi"/>
          <w:sz w:val="22"/>
          <w:szCs w:val="22"/>
        </w:rPr>
        <w:t xml:space="preserve"> (</w:t>
      </w:r>
      <w:proofErr w:type="spellStart"/>
      <w:r w:rsidRPr="00CF7EBD">
        <w:rPr>
          <w:rFonts w:asciiTheme="minorHAnsi" w:eastAsia="Calibri" w:hAnsiTheme="minorHAnsi" w:cstheme="minorHAnsi"/>
          <w:sz w:val="22"/>
          <w:szCs w:val="22"/>
          <w:shd w:val="clear" w:color="auto" w:fill="FFFFFF"/>
        </w:rPr>
        <w:t>Anderson</w:t>
      </w:r>
      <w:proofErr w:type="spellEnd"/>
      <w:r w:rsidRPr="00CF7EBD">
        <w:rPr>
          <w:rFonts w:asciiTheme="minorHAnsi" w:eastAsia="Calibri" w:hAnsiTheme="minorHAnsi" w:cstheme="minorHAnsi"/>
          <w:sz w:val="22"/>
          <w:szCs w:val="22"/>
          <w:shd w:val="clear" w:color="auto" w:fill="FFFFFF"/>
        </w:rPr>
        <w:t xml:space="preserve">, 1987; </w:t>
      </w:r>
      <w:proofErr w:type="spellStart"/>
      <w:r w:rsidRPr="00CF7EBD">
        <w:rPr>
          <w:rFonts w:asciiTheme="minorHAnsi" w:eastAsia="Calibri" w:hAnsiTheme="minorHAnsi" w:cstheme="minorHAnsi"/>
          <w:color w:val="000000"/>
          <w:sz w:val="22"/>
          <w:szCs w:val="22"/>
          <w:shd w:val="clear" w:color="auto" w:fill="FFFFFF"/>
        </w:rPr>
        <w:t>Chin</w:t>
      </w:r>
      <w:proofErr w:type="spellEnd"/>
      <w:r w:rsidRPr="00CF7EBD">
        <w:rPr>
          <w:rFonts w:asciiTheme="minorHAnsi" w:eastAsia="Calibri" w:hAnsiTheme="minorHAnsi" w:cstheme="minorHAnsi"/>
          <w:color w:val="000000"/>
          <w:sz w:val="22"/>
          <w:szCs w:val="22"/>
          <w:shd w:val="clear" w:color="auto" w:fill="FFFFFF"/>
        </w:rPr>
        <w:t>,</w:t>
      </w:r>
      <w:r w:rsidRPr="006329C2">
        <w:rPr>
          <w:rFonts w:asciiTheme="minorHAnsi" w:eastAsia="Calibri" w:hAnsiTheme="minorHAnsi" w:cstheme="minorHAnsi"/>
          <w:color w:val="000000"/>
          <w:sz w:val="22"/>
          <w:szCs w:val="22"/>
          <w:shd w:val="clear" w:color="auto" w:fill="FFFFFF"/>
        </w:rPr>
        <w:t xml:space="preserve"> </w:t>
      </w:r>
      <w:r>
        <w:rPr>
          <w:rFonts w:asciiTheme="minorHAnsi" w:eastAsia="Calibri" w:hAnsiTheme="minorHAnsi" w:cstheme="minorHAnsi"/>
          <w:color w:val="000000"/>
          <w:sz w:val="22"/>
          <w:szCs w:val="22"/>
          <w:shd w:val="clear" w:color="auto" w:fill="FFFFFF"/>
          <w:lang w:val="en-US"/>
        </w:rPr>
        <w:t>et</w:t>
      </w:r>
      <w:r w:rsidRPr="006329C2">
        <w:rPr>
          <w:rFonts w:asciiTheme="minorHAnsi" w:eastAsia="Calibri" w:hAnsiTheme="minorHAnsi" w:cstheme="minorHAnsi"/>
          <w:color w:val="000000"/>
          <w:sz w:val="22"/>
          <w:szCs w:val="22"/>
          <w:shd w:val="clear" w:color="auto" w:fill="FFFFFF"/>
        </w:rPr>
        <w:t xml:space="preserve"> </w:t>
      </w:r>
      <w:r>
        <w:rPr>
          <w:rFonts w:asciiTheme="minorHAnsi" w:eastAsia="Calibri" w:hAnsiTheme="minorHAnsi" w:cstheme="minorHAnsi"/>
          <w:color w:val="000000"/>
          <w:sz w:val="22"/>
          <w:szCs w:val="22"/>
          <w:shd w:val="clear" w:color="auto" w:fill="FFFFFF"/>
          <w:lang w:val="en-US"/>
        </w:rPr>
        <w:t>al</w:t>
      </w:r>
      <w:r w:rsidRPr="006329C2">
        <w:rPr>
          <w:rFonts w:asciiTheme="minorHAnsi" w:eastAsia="Calibri" w:hAnsiTheme="minorHAnsi" w:cstheme="minorHAnsi"/>
          <w:color w:val="000000"/>
          <w:sz w:val="22"/>
          <w:szCs w:val="22"/>
          <w:shd w:val="clear" w:color="auto" w:fill="FFFFFF"/>
        </w:rPr>
        <w:t xml:space="preserve">., </w:t>
      </w:r>
      <w:r w:rsidRPr="00CF7EBD">
        <w:rPr>
          <w:rFonts w:asciiTheme="minorHAnsi" w:eastAsia="Calibri" w:hAnsiTheme="minorHAnsi" w:cstheme="minorHAnsi"/>
          <w:color w:val="000000"/>
          <w:sz w:val="22"/>
          <w:szCs w:val="22"/>
          <w:shd w:val="clear" w:color="auto" w:fill="FFFFFF"/>
        </w:rPr>
        <w:t xml:space="preserve">1997; </w:t>
      </w:r>
      <w:proofErr w:type="spellStart"/>
      <w:r w:rsidRPr="00CF7EBD">
        <w:rPr>
          <w:rFonts w:asciiTheme="minorHAnsi" w:eastAsia="Calibri" w:hAnsiTheme="minorHAnsi" w:cstheme="minorHAnsi"/>
          <w:sz w:val="22"/>
          <w:szCs w:val="22"/>
          <w:shd w:val="clear" w:color="auto" w:fill="FFFFFF"/>
        </w:rPr>
        <w:t>Segars</w:t>
      </w:r>
      <w:proofErr w:type="spellEnd"/>
      <w:r w:rsidRPr="00CF7EBD">
        <w:rPr>
          <w:rFonts w:asciiTheme="minorHAnsi" w:eastAsia="Calibri" w:hAnsiTheme="minorHAnsi" w:cstheme="minorHAnsi"/>
          <w:sz w:val="22"/>
          <w:szCs w:val="22"/>
          <w:shd w:val="clear" w:color="auto" w:fill="FFFFFF"/>
        </w:rPr>
        <w:t xml:space="preserve">, 1997; </w:t>
      </w:r>
      <w:proofErr w:type="spellStart"/>
      <w:r w:rsidRPr="00CF7EBD">
        <w:rPr>
          <w:rFonts w:asciiTheme="minorHAnsi" w:eastAsia="Calibri" w:hAnsiTheme="minorHAnsi" w:cstheme="minorHAnsi"/>
          <w:color w:val="000000"/>
          <w:sz w:val="22"/>
          <w:szCs w:val="22"/>
          <w:shd w:val="clear" w:color="auto" w:fill="FFFFFF"/>
        </w:rPr>
        <w:t>Koufteros</w:t>
      </w:r>
      <w:proofErr w:type="spellEnd"/>
      <w:r w:rsidRPr="006156D1">
        <w:rPr>
          <w:rFonts w:asciiTheme="minorHAnsi" w:eastAsia="Calibri" w:hAnsiTheme="minorHAnsi" w:cstheme="minorHAnsi"/>
          <w:color w:val="000000"/>
          <w:sz w:val="22"/>
          <w:szCs w:val="22"/>
          <w:shd w:val="clear" w:color="auto" w:fill="FFFFFF"/>
        </w:rPr>
        <w:t>, 1999)</w:t>
      </w:r>
      <w:r w:rsidRPr="006156D1">
        <w:rPr>
          <w:rFonts w:asciiTheme="minorHAnsi" w:eastAsia="Calibri" w:hAnsiTheme="minorHAnsi" w:cstheme="minorHAnsi"/>
          <w:color w:val="000000"/>
          <w:sz w:val="22"/>
          <w:szCs w:val="22"/>
        </w:rPr>
        <w:t xml:space="preserve"> (</w:t>
      </w:r>
      <w:r w:rsidR="00A73EDA">
        <w:rPr>
          <w:rFonts w:asciiTheme="minorHAnsi" w:eastAsia="Calibri" w:hAnsiTheme="minorHAnsi" w:cstheme="minorHAnsi"/>
          <w:bCs/>
          <w:sz w:val="22"/>
          <w:szCs w:val="22"/>
        </w:rPr>
        <w:t xml:space="preserve">Πίνακας </w:t>
      </w:r>
      <w:r w:rsidR="001D7392">
        <w:rPr>
          <w:rFonts w:asciiTheme="minorHAnsi" w:eastAsia="Calibri" w:hAnsiTheme="minorHAnsi" w:cstheme="minorHAnsi"/>
          <w:bCs/>
          <w:sz w:val="22"/>
          <w:szCs w:val="22"/>
        </w:rPr>
        <w:t>2</w:t>
      </w:r>
      <w:r w:rsidRPr="006156D1">
        <w:rPr>
          <w:rFonts w:asciiTheme="minorHAnsi" w:eastAsia="Calibri" w:hAnsiTheme="minorHAnsi" w:cstheme="minorHAnsi"/>
          <w:color w:val="000000"/>
          <w:sz w:val="22"/>
          <w:szCs w:val="22"/>
        </w:rPr>
        <w:t>).</w:t>
      </w:r>
    </w:p>
    <w:p w14:paraId="7D142C2C" w14:textId="3BB0BC75" w:rsidR="001062F9" w:rsidRPr="00CF7EBD" w:rsidRDefault="00690C4D" w:rsidP="00CF7EBD">
      <w:pPr>
        <w:shd w:val="clear" w:color="auto" w:fill="FFFFFF"/>
        <w:autoSpaceDE w:val="0"/>
        <w:autoSpaceDN w:val="0"/>
        <w:adjustRightInd w:val="0"/>
        <w:jc w:val="both"/>
        <w:rPr>
          <w:rFonts w:asciiTheme="minorHAnsi" w:eastAsia="Calibri" w:hAnsiTheme="minorHAnsi" w:cstheme="minorHAnsi"/>
          <w:bCs/>
          <w:sz w:val="22"/>
          <w:szCs w:val="22"/>
        </w:rPr>
      </w:pPr>
      <w:r w:rsidRPr="00CF7EBD">
        <w:rPr>
          <w:rFonts w:ascii="Calibri" w:hAnsi="Calibri" w:cs="Calibri"/>
          <w:noProof/>
          <w:sz w:val="22"/>
          <w:szCs w:val="22"/>
        </w:rPr>
        <w:drawing>
          <wp:anchor distT="0" distB="0" distL="114300" distR="114300" simplePos="0" relativeHeight="251659264" behindDoc="1" locked="0" layoutInCell="1" allowOverlap="1" wp14:anchorId="7308050A" wp14:editId="7C2712B7">
            <wp:simplePos x="0" y="0"/>
            <wp:positionH relativeFrom="margin">
              <wp:align>right</wp:align>
            </wp:positionH>
            <wp:positionV relativeFrom="paragraph">
              <wp:posOffset>181610</wp:posOffset>
            </wp:positionV>
            <wp:extent cx="5276850" cy="4286250"/>
            <wp:effectExtent l="0" t="0" r="0" b="0"/>
            <wp:wrapTight wrapText="bothSides">
              <wp:wrapPolygon edited="0">
                <wp:start x="0" y="0"/>
                <wp:lineTo x="0" y="21504"/>
                <wp:lineTo x="21522" y="21504"/>
                <wp:lineTo x="21522" y="0"/>
                <wp:lineTo x="0" y="0"/>
              </wp:wrapPolygon>
            </wp:wrapTight>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2718" r="3940" b="5628"/>
                    <a:stretch/>
                  </pic:blipFill>
                  <pic:spPr bwMode="auto">
                    <a:xfrm>
                      <a:off x="0" y="0"/>
                      <a:ext cx="5276850" cy="4286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9136E4" w14:textId="77777777" w:rsidR="007F303C" w:rsidRPr="005D63A7" w:rsidRDefault="00CF7EBD" w:rsidP="006A2B2B">
      <w:pPr>
        <w:suppressAutoHyphens w:val="0"/>
        <w:jc w:val="center"/>
        <w:rPr>
          <w:rFonts w:ascii="Calibri" w:eastAsia="Calibri" w:hAnsi="Calibri" w:cs="Calibri"/>
          <w:sz w:val="22"/>
          <w:szCs w:val="22"/>
          <w:lang w:eastAsia="en-US"/>
        </w:rPr>
      </w:pPr>
      <w:bookmarkStart w:id="5" w:name="_Hlk64797481"/>
      <w:r w:rsidRPr="005D63A7">
        <w:rPr>
          <w:rFonts w:ascii="Calibri" w:eastAsia="Calibri" w:hAnsi="Calibri" w:cs="Calibri"/>
          <w:sz w:val="22"/>
          <w:szCs w:val="22"/>
          <w:lang w:eastAsia="en-US"/>
        </w:rPr>
        <w:t xml:space="preserve">Σχήμα </w:t>
      </w:r>
      <w:r w:rsidR="007F303C" w:rsidRPr="005D63A7">
        <w:rPr>
          <w:rFonts w:ascii="Calibri" w:eastAsia="Calibri" w:hAnsi="Calibri" w:cs="Calibri"/>
          <w:sz w:val="22"/>
          <w:szCs w:val="22"/>
          <w:lang w:eastAsia="en-US"/>
        </w:rPr>
        <w:t>1</w:t>
      </w:r>
      <w:r w:rsidRPr="005D63A7">
        <w:rPr>
          <w:rFonts w:ascii="Calibri" w:eastAsia="Calibri" w:hAnsi="Calibri" w:cs="Calibri"/>
          <w:sz w:val="22"/>
          <w:szCs w:val="22"/>
          <w:lang w:eastAsia="en-US"/>
        </w:rPr>
        <w:t>. Ερευνητικό μοντέλο (Μοντέλο1α)</w:t>
      </w:r>
    </w:p>
    <w:p w14:paraId="31F556AF" w14:textId="77777777" w:rsidR="006E0797" w:rsidRDefault="006E0797" w:rsidP="00C26BF6">
      <w:pPr>
        <w:suppressAutoHyphens w:val="0"/>
        <w:jc w:val="both"/>
        <w:rPr>
          <w:rFonts w:ascii="Calibri" w:eastAsia="Calibri" w:hAnsi="Calibri" w:cs="Calibri"/>
          <w:bCs/>
          <w:sz w:val="22"/>
          <w:szCs w:val="22"/>
          <w:lang w:eastAsia="en-US"/>
        </w:rPr>
      </w:pPr>
    </w:p>
    <w:p w14:paraId="10430DD9" w14:textId="65195DE9" w:rsidR="005D63A7" w:rsidRPr="00595611" w:rsidRDefault="005D63A7" w:rsidP="00595611">
      <w:pPr>
        <w:shd w:val="clear" w:color="auto" w:fill="FFFFFF"/>
        <w:autoSpaceDE w:val="0"/>
        <w:autoSpaceDN w:val="0"/>
        <w:adjustRightInd w:val="0"/>
        <w:ind w:firstLine="284"/>
        <w:jc w:val="both"/>
        <w:rPr>
          <w:rFonts w:asciiTheme="minorHAnsi" w:eastAsia="Calibri" w:hAnsiTheme="minorHAnsi" w:cstheme="minorHAnsi"/>
          <w:bCs/>
          <w:sz w:val="22"/>
          <w:szCs w:val="22"/>
        </w:rPr>
        <w:sectPr w:rsidR="005D63A7" w:rsidRPr="00595611" w:rsidSect="00CD0160">
          <w:headerReference w:type="even" r:id="rId9"/>
          <w:footerReference w:type="even" r:id="rId10"/>
          <w:footerReference w:type="first" r:id="rId11"/>
          <w:type w:val="continuous"/>
          <w:pgSz w:w="11906" w:h="16838" w:code="9"/>
          <w:pgMar w:top="1440" w:right="1800" w:bottom="1440" w:left="1800" w:header="709" w:footer="725" w:gutter="0"/>
          <w:cols w:space="720"/>
          <w:docGrid w:linePitch="360"/>
        </w:sectPr>
      </w:pPr>
      <w:r w:rsidRPr="006156D1">
        <w:rPr>
          <w:rFonts w:asciiTheme="minorHAnsi" w:eastAsia="Calibri" w:hAnsiTheme="minorHAnsi" w:cstheme="minorHAnsi"/>
          <w:color w:val="000000"/>
          <w:sz w:val="22"/>
          <w:szCs w:val="22"/>
        </w:rPr>
        <w:t>Η</w:t>
      </w:r>
      <w:r w:rsidRPr="006156D1">
        <w:rPr>
          <w:rFonts w:asciiTheme="minorHAnsi" w:eastAsia="Calibri" w:hAnsiTheme="minorHAnsi" w:cstheme="minorHAnsi"/>
          <w:sz w:val="22"/>
          <w:szCs w:val="22"/>
        </w:rPr>
        <w:t xml:space="preserve"> διαφορά</w:t>
      </w:r>
      <w:r w:rsidRPr="00CF7EBD">
        <w:rPr>
          <w:rFonts w:asciiTheme="minorHAnsi" w:eastAsia="Calibri" w:hAnsiTheme="minorHAnsi" w:cstheme="minorHAnsi"/>
          <w:sz w:val="22"/>
          <w:szCs w:val="22"/>
        </w:rPr>
        <w:t xml:space="preserve"> </w:t>
      </w:r>
      <w:r w:rsidRPr="00CF7EBD">
        <w:rPr>
          <w:rFonts w:asciiTheme="minorHAnsi" w:eastAsia="Calibri" w:hAnsiTheme="minorHAnsi" w:cstheme="minorHAnsi"/>
          <w:i/>
          <w:sz w:val="22"/>
          <w:szCs w:val="22"/>
        </w:rPr>
        <w:t>χ</w:t>
      </w:r>
      <w:r w:rsidRPr="00CF7EBD">
        <w:rPr>
          <w:rFonts w:asciiTheme="minorHAnsi" w:eastAsia="Calibri" w:hAnsiTheme="minorHAnsi" w:cstheme="minorHAnsi"/>
          <w:sz w:val="22"/>
          <w:szCs w:val="22"/>
          <w:vertAlign w:val="superscript"/>
        </w:rPr>
        <w:t>2</w:t>
      </w:r>
      <w:r w:rsidRPr="00CF7EBD">
        <w:rPr>
          <w:rFonts w:asciiTheme="minorHAnsi" w:eastAsia="Calibri" w:hAnsiTheme="minorHAnsi" w:cstheme="minorHAnsi"/>
          <w:sz w:val="22"/>
          <w:szCs w:val="22"/>
        </w:rPr>
        <w:t xml:space="preserve"> μεταξύ των δύο συγκρινόμενων μοντέλων είναι στατιστικώς σημαντική [Δ</w:t>
      </w:r>
      <w:r w:rsidRPr="00CF7EBD">
        <w:rPr>
          <w:rFonts w:asciiTheme="minorHAnsi" w:eastAsia="Calibri" w:hAnsiTheme="minorHAnsi" w:cstheme="minorHAnsi"/>
          <w:i/>
          <w:sz w:val="22"/>
          <w:szCs w:val="22"/>
        </w:rPr>
        <w:t>χ</w:t>
      </w:r>
      <w:r w:rsidRPr="00CF7EBD">
        <w:rPr>
          <w:rFonts w:asciiTheme="minorHAnsi" w:eastAsia="Calibri" w:hAnsiTheme="minorHAnsi" w:cstheme="minorHAnsi"/>
          <w:sz w:val="22"/>
          <w:szCs w:val="22"/>
          <w:vertAlign w:val="superscript"/>
        </w:rPr>
        <w:t>2</w:t>
      </w:r>
      <w:r w:rsidRPr="006156D1">
        <w:rPr>
          <w:rFonts w:asciiTheme="minorHAnsi" w:eastAsia="Calibri" w:hAnsiTheme="minorHAnsi" w:cstheme="minorHAnsi"/>
          <w:sz w:val="22"/>
          <w:szCs w:val="22"/>
          <w:vertAlign w:val="subscript"/>
        </w:rPr>
        <w:t>(3)</w:t>
      </w:r>
      <w:r w:rsidRPr="00CF7EBD">
        <w:rPr>
          <w:rFonts w:asciiTheme="minorHAnsi" w:eastAsia="Calibri" w:hAnsiTheme="minorHAnsi" w:cstheme="minorHAnsi"/>
          <w:sz w:val="22"/>
          <w:szCs w:val="22"/>
        </w:rPr>
        <w:t xml:space="preserve"> = 439,608, </w:t>
      </w:r>
      <w:r w:rsidRPr="00CF7EBD">
        <w:rPr>
          <w:rFonts w:asciiTheme="minorHAnsi" w:eastAsia="Calibri" w:hAnsiTheme="minorHAnsi" w:cstheme="minorHAnsi"/>
          <w:i/>
          <w:sz w:val="22"/>
          <w:szCs w:val="22"/>
        </w:rPr>
        <w:t>p</w:t>
      </w:r>
      <w:r w:rsidRPr="00CF7EBD">
        <w:rPr>
          <w:rFonts w:asciiTheme="minorHAnsi" w:eastAsia="Calibri" w:hAnsiTheme="minorHAnsi" w:cstheme="minorHAnsi"/>
          <w:sz w:val="22"/>
          <w:szCs w:val="22"/>
        </w:rPr>
        <w:t xml:space="preserve"> &lt; 0,001, </w:t>
      </w:r>
      <w:r w:rsidRPr="00CF7EBD">
        <w:rPr>
          <w:rFonts w:asciiTheme="minorHAnsi" w:eastAsia="Calibri" w:hAnsiTheme="minorHAnsi" w:cstheme="minorHAnsi"/>
          <w:sz w:val="22"/>
          <w:szCs w:val="22"/>
          <w:lang w:val="en-US"/>
        </w:rPr>
        <w:t>Critical</w:t>
      </w:r>
      <w:r w:rsidRPr="00CF7EBD">
        <w:rPr>
          <w:rFonts w:asciiTheme="minorHAnsi" w:eastAsia="Calibri" w:hAnsiTheme="minorHAnsi" w:cstheme="minorHAnsi"/>
          <w:sz w:val="22"/>
          <w:szCs w:val="22"/>
        </w:rPr>
        <w:t xml:space="preserve"> </w:t>
      </w:r>
      <w:r w:rsidRPr="00CF7EBD">
        <w:rPr>
          <w:rFonts w:asciiTheme="minorHAnsi" w:eastAsia="Calibri" w:hAnsiTheme="minorHAnsi" w:cstheme="minorHAnsi"/>
          <w:sz w:val="22"/>
          <w:szCs w:val="22"/>
          <w:lang w:val="en-US"/>
        </w:rPr>
        <w:t>Value</w:t>
      </w:r>
      <w:r w:rsidRPr="00CF7EBD">
        <w:rPr>
          <w:rFonts w:asciiTheme="minorHAnsi" w:eastAsia="Calibri" w:hAnsiTheme="minorHAnsi" w:cstheme="minorHAnsi"/>
          <w:sz w:val="22"/>
          <w:szCs w:val="22"/>
        </w:rPr>
        <w:t xml:space="preserve">= 16,27 (3 </w:t>
      </w:r>
      <w:r w:rsidRPr="00CF7EBD">
        <w:rPr>
          <w:rFonts w:asciiTheme="minorHAnsi" w:eastAsia="Calibri" w:hAnsiTheme="minorHAnsi" w:cstheme="minorHAnsi"/>
          <w:sz w:val="22"/>
          <w:szCs w:val="22"/>
          <w:lang w:val="en-US"/>
        </w:rPr>
        <w:t>df</w:t>
      </w:r>
      <w:r w:rsidRPr="00CF7EBD">
        <w:rPr>
          <w:rFonts w:asciiTheme="minorHAnsi" w:eastAsia="Calibri" w:hAnsiTheme="minorHAnsi" w:cstheme="minorHAnsi"/>
          <w:sz w:val="22"/>
          <w:szCs w:val="22"/>
        </w:rPr>
        <w:t xml:space="preserve">, </w:t>
      </w:r>
      <w:r w:rsidRPr="00CF7EBD">
        <w:rPr>
          <w:rFonts w:asciiTheme="minorHAnsi" w:eastAsia="Calibri" w:hAnsiTheme="minorHAnsi" w:cstheme="minorHAnsi"/>
          <w:i/>
          <w:sz w:val="22"/>
          <w:szCs w:val="22"/>
          <w:lang w:val="en-US"/>
        </w:rPr>
        <w:t>p</w:t>
      </w:r>
      <w:r w:rsidRPr="00CF7EBD">
        <w:rPr>
          <w:rFonts w:asciiTheme="minorHAnsi" w:eastAsia="Calibri" w:hAnsiTheme="minorHAnsi" w:cstheme="minorHAnsi"/>
          <w:sz w:val="22"/>
          <w:szCs w:val="22"/>
        </w:rPr>
        <w:t xml:space="preserve"> &lt; 0,001)] (</w:t>
      </w:r>
      <w:proofErr w:type="spellStart"/>
      <w:r w:rsidRPr="00CF7EBD">
        <w:rPr>
          <w:rFonts w:asciiTheme="minorHAnsi" w:eastAsia="Calibri" w:hAnsiTheme="minorHAnsi" w:cstheme="minorHAnsi"/>
          <w:sz w:val="22"/>
          <w:szCs w:val="22"/>
          <w:shd w:val="clear" w:color="auto" w:fill="FFFFFF"/>
        </w:rPr>
        <w:t>Segars</w:t>
      </w:r>
      <w:proofErr w:type="spellEnd"/>
      <w:r w:rsidRPr="00CF7EBD">
        <w:rPr>
          <w:rFonts w:asciiTheme="minorHAnsi" w:eastAsia="Calibri" w:hAnsiTheme="minorHAnsi" w:cstheme="minorHAnsi"/>
          <w:sz w:val="22"/>
          <w:szCs w:val="22"/>
          <w:shd w:val="clear" w:color="auto" w:fill="FFFFFF"/>
        </w:rPr>
        <w:t xml:space="preserve">, 1997; </w:t>
      </w:r>
      <w:proofErr w:type="spellStart"/>
      <w:r w:rsidRPr="00CF7EBD">
        <w:rPr>
          <w:rFonts w:asciiTheme="minorHAnsi" w:eastAsia="Calibri" w:hAnsiTheme="minorHAnsi" w:cstheme="minorHAnsi"/>
          <w:sz w:val="22"/>
          <w:szCs w:val="22"/>
          <w:shd w:val="clear" w:color="auto" w:fill="FFFFFF"/>
        </w:rPr>
        <w:t>Acock</w:t>
      </w:r>
      <w:proofErr w:type="spellEnd"/>
      <w:r w:rsidRPr="00CF7EBD">
        <w:rPr>
          <w:rFonts w:asciiTheme="minorHAnsi" w:eastAsia="Calibri" w:hAnsiTheme="minorHAnsi" w:cstheme="minorHAnsi"/>
          <w:sz w:val="22"/>
          <w:szCs w:val="22"/>
          <w:shd w:val="clear" w:color="auto" w:fill="FFFFFF"/>
        </w:rPr>
        <w:t>, 2008)].</w:t>
      </w:r>
      <w:r w:rsidRPr="00CF7EBD">
        <w:rPr>
          <w:rFonts w:asciiTheme="minorHAnsi" w:eastAsia="Calibri" w:hAnsiTheme="minorHAnsi" w:cstheme="minorHAnsi"/>
          <w:sz w:val="22"/>
          <w:szCs w:val="22"/>
        </w:rPr>
        <w:t xml:space="preserve"> Επομένως οι τρείς παράγοντες πρώτης τάξεως μετρούν ξεχωριστές έννοιες (</w:t>
      </w:r>
      <w:r w:rsidRPr="00CF7EBD">
        <w:rPr>
          <w:rFonts w:asciiTheme="minorHAnsi" w:eastAsia="Calibri" w:hAnsiTheme="minorHAnsi" w:cstheme="minorHAnsi"/>
          <w:sz w:val="22"/>
          <w:szCs w:val="22"/>
          <w:lang w:val="en-US"/>
        </w:rPr>
        <w:t>discriminant</w:t>
      </w:r>
      <w:r w:rsidRPr="00CF7EBD">
        <w:rPr>
          <w:rFonts w:asciiTheme="minorHAnsi" w:eastAsia="Calibri" w:hAnsiTheme="minorHAnsi" w:cstheme="minorHAnsi"/>
          <w:sz w:val="22"/>
          <w:szCs w:val="22"/>
        </w:rPr>
        <w:t xml:space="preserve"> </w:t>
      </w:r>
      <w:r w:rsidRPr="00CF7EBD">
        <w:rPr>
          <w:rFonts w:asciiTheme="minorHAnsi" w:eastAsia="Calibri" w:hAnsiTheme="minorHAnsi" w:cstheme="minorHAnsi"/>
          <w:sz w:val="22"/>
          <w:szCs w:val="22"/>
          <w:lang w:val="en-US"/>
        </w:rPr>
        <w:t>validity</w:t>
      </w:r>
      <w:r w:rsidRPr="00CF7EBD">
        <w:rPr>
          <w:rFonts w:asciiTheme="minorHAnsi" w:eastAsia="Calibri" w:hAnsiTheme="minorHAnsi" w:cstheme="minorHAnsi"/>
          <w:sz w:val="22"/>
          <w:szCs w:val="22"/>
        </w:rPr>
        <w:t>).</w:t>
      </w:r>
      <w:r w:rsidR="00595611" w:rsidRPr="00595611">
        <w:rPr>
          <w:rFonts w:asciiTheme="minorHAnsi" w:eastAsia="Calibri" w:hAnsiTheme="minorHAnsi" w:cstheme="minorHAnsi"/>
          <w:bCs/>
          <w:sz w:val="22"/>
          <w:szCs w:val="22"/>
        </w:rPr>
        <w:t xml:space="preserve"> </w:t>
      </w:r>
      <w:r w:rsidRPr="00CF7EBD">
        <w:rPr>
          <w:rFonts w:asciiTheme="minorHAnsi" w:eastAsia="Calibri" w:hAnsiTheme="minorHAnsi" w:cstheme="minorHAnsi"/>
          <w:sz w:val="22"/>
          <w:szCs w:val="22"/>
        </w:rPr>
        <w:t xml:space="preserve">Τελικά, τα αποτελέσματα του Πίνακα </w:t>
      </w:r>
      <w:r>
        <w:rPr>
          <w:rFonts w:asciiTheme="minorHAnsi" w:eastAsia="Calibri" w:hAnsiTheme="minorHAnsi" w:cstheme="minorHAnsi"/>
          <w:sz w:val="22"/>
          <w:szCs w:val="22"/>
        </w:rPr>
        <w:t>3</w:t>
      </w:r>
      <w:r w:rsidRPr="00CF7EBD">
        <w:rPr>
          <w:rFonts w:asciiTheme="minorHAnsi" w:eastAsia="Calibri" w:hAnsiTheme="minorHAnsi" w:cstheme="minorHAnsi"/>
          <w:sz w:val="22"/>
          <w:szCs w:val="22"/>
        </w:rPr>
        <w:t xml:space="preserve"> δείχνουν ότι το υποθετικό θεωρητικό μας μοντέλο (Μοντέλο1</w:t>
      </w:r>
      <w:r w:rsidRPr="00CF7EBD">
        <w:rPr>
          <w:rFonts w:asciiTheme="minorHAnsi" w:eastAsia="Calibri" w:hAnsiTheme="minorHAnsi" w:cstheme="minorHAnsi"/>
          <w:sz w:val="22"/>
          <w:szCs w:val="22"/>
          <w:vertAlign w:val="subscript"/>
        </w:rPr>
        <w:t>α</w:t>
      </w:r>
      <w:r w:rsidRPr="00CF7EBD">
        <w:rPr>
          <w:rFonts w:asciiTheme="minorHAnsi" w:eastAsia="Calibri" w:hAnsiTheme="minorHAnsi" w:cstheme="minorHAnsi"/>
          <w:sz w:val="22"/>
          <w:szCs w:val="22"/>
        </w:rPr>
        <w:t>) παρουσιάζει εξαιρετική προσαρμογή στα δεδομένα.</w:t>
      </w:r>
      <w:r w:rsidRPr="005D63A7">
        <w:rPr>
          <w:rFonts w:asciiTheme="minorHAnsi" w:hAnsiTheme="minorHAnsi" w:cstheme="minorHAnsi"/>
          <w:sz w:val="22"/>
          <w:szCs w:val="22"/>
        </w:rPr>
        <w:t xml:space="preserve"> </w:t>
      </w:r>
      <w:r w:rsidRPr="00CF7EBD">
        <w:rPr>
          <w:rFonts w:asciiTheme="minorHAnsi" w:hAnsiTheme="minorHAnsi" w:cstheme="minorHAnsi"/>
          <w:sz w:val="22"/>
          <w:szCs w:val="22"/>
        </w:rPr>
        <w:t xml:space="preserve">Επιπλέον, </w:t>
      </w:r>
      <w:r w:rsidRPr="00CF7EBD">
        <w:rPr>
          <w:rFonts w:asciiTheme="minorHAnsi" w:eastAsia="Calibri" w:hAnsiTheme="minorHAnsi" w:cstheme="minorHAnsi"/>
          <w:sz w:val="22"/>
          <w:szCs w:val="22"/>
        </w:rPr>
        <w:t>ένδειξη επίτευξης της διακρίνουσας εγκυρότητας είναι ότι οι συσχετίσεις μεταξύ των λανθανουσών μεταβλητών δεν κυμάνθηκαν σε υψηλά επίπεδα (r ≥ 0,85) (</w:t>
      </w:r>
      <w:proofErr w:type="spellStart"/>
      <w:r w:rsidRPr="00CF7EBD">
        <w:rPr>
          <w:rFonts w:asciiTheme="minorHAnsi" w:eastAsia="Calibri" w:hAnsiTheme="minorHAnsi" w:cstheme="minorHAnsi"/>
          <w:sz w:val="22"/>
          <w:szCs w:val="22"/>
        </w:rPr>
        <w:t>Chin</w:t>
      </w:r>
      <w:proofErr w:type="spellEnd"/>
      <w:r w:rsidRPr="00CF7EBD">
        <w:rPr>
          <w:rFonts w:asciiTheme="minorHAnsi" w:eastAsia="Calibri" w:hAnsiTheme="minorHAnsi" w:cstheme="minorHAnsi"/>
          <w:sz w:val="22"/>
          <w:szCs w:val="22"/>
        </w:rPr>
        <w:t xml:space="preserve">, </w:t>
      </w:r>
      <w:r>
        <w:rPr>
          <w:rFonts w:asciiTheme="minorHAnsi" w:eastAsia="Calibri" w:hAnsiTheme="minorHAnsi" w:cstheme="minorHAnsi"/>
          <w:sz w:val="22"/>
          <w:szCs w:val="22"/>
          <w:lang w:val="en-US"/>
        </w:rPr>
        <w:t>et</w:t>
      </w:r>
      <w:r w:rsidRPr="006329C2">
        <w:rPr>
          <w:rFonts w:asciiTheme="minorHAnsi" w:eastAsia="Calibri" w:hAnsiTheme="minorHAnsi" w:cstheme="minorHAnsi"/>
          <w:sz w:val="22"/>
          <w:szCs w:val="22"/>
        </w:rPr>
        <w:t xml:space="preserve"> </w:t>
      </w:r>
      <w:r>
        <w:rPr>
          <w:rFonts w:asciiTheme="minorHAnsi" w:eastAsia="Calibri" w:hAnsiTheme="minorHAnsi" w:cstheme="minorHAnsi"/>
          <w:sz w:val="22"/>
          <w:szCs w:val="22"/>
          <w:lang w:val="en-US"/>
        </w:rPr>
        <w:t>al</w:t>
      </w:r>
      <w:r w:rsidRPr="006329C2">
        <w:rPr>
          <w:rFonts w:asciiTheme="minorHAnsi" w:eastAsia="Calibri" w:hAnsiTheme="minorHAnsi" w:cstheme="minorHAnsi"/>
          <w:sz w:val="22"/>
          <w:szCs w:val="22"/>
        </w:rPr>
        <w:t>.</w:t>
      </w:r>
      <w:r w:rsidRPr="00CF7EBD">
        <w:rPr>
          <w:rFonts w:asciiTheme="minorHAnsi" w:eastAsia="Calibri" w:hAnsiTheme="minorHAnsi" w:cstheme="minorHAnsi"/>
          <w:sz w:val="22"/>
          <w:szCs w:val="22"/>
        </w:rPr>
        <w:t>, 1997) (</w:t>
      </w:r>
      <w:r>
        <w:rPr>
          <w:rFonts w:asciiTheme="minorHAnsi" w:eastAsia="Calibri" w:hAnsiTheme="minorHAnsi" w:cstheme="minorHAnsi"/>
          <w:sz w:val="22"/>
          <w:szCs w:val="22"/>
        </w:rPr>
        <w:t>Σχήμα 1</w:t>
      </w:r>
      <w:r w:rsidRPr="00CF7EBD">
        <w:rPr>
          <w:rFonts w:asciiTheme="minorHAnsi" w:eastAsia="Calibri" w:hAnsiTheme="minorHAnsi" w:cstheme="minorHAnsi"/>
          <w:sz w:val="22"/>
          <w:szCs w:val="22"/>
        </w:rPr>
        <w:t>).</w:t>
      </w:r>
      <w:r w:rsidR="00595611" w:rsidRPr="00595611">
        <w:rPr>
          <w:rFonts w:asciiTheme="minorHAnsi" w:eastAsia="Calibri" w:hAnsiTheme="minorHAnsi" w:cstheme="minorHAnsi"/>
          <w:sz w:val="22"/>
          <w:szCs w:val="22"/>
        </w:rPr>
        <w:t xml:space="preserve"> </w:t>
      </w:r>
      <w:r w:rsidR="00595611" w:rsidRPr="00CF7EBD">
        <w:rPr>
          <w:rFonts w:asciiTheme="minorHAnsi" w:eastAsia="Calibri" w:hAnsiTheme="minorHAnsi" w:cstheme="minorHAnsi"/>
          <w:sz w:val="22"/>
          <w:szCs w:val="22"/>
        </w:rPr>
        <w:t>Στην κλίμακα (Μοντέλο1α) της  οποίας εξετάζουμε την παραγοντική της δομή, οι φορτίσεις των μεταβλητών στους παράγοντές τους είναι στατιστικά σημαντικές (t-</w:t>
      </w:r>
      <w:proofErr w:type="spellStart"/>
      <w:r w:rsidR="00595611" w:rsidRPr="00CF7EBD">
        <w:rPr>
          <w:rFonts w:asciiTheme="minorHAnsi" w:eastAsia="Calibri" w:hAnsiTheme="minorHAnsi" w:cstheme="minorHAnsi"/>
          <w:sz w:val="22"/>
          <w:szCs w:val="22"/>
        </w:rPr>
        <w:t>values</w:t>
      </w:r>
      <w:proofErr w:type="spellEnd"/>
      <w:r w:rsidR="00595611" w:rsidRPr="00CF7EBD">
        <w:rPr>
          <w:rFonts w:asciiTheme="minorHAnsi" w:eastAsia="Calibri" w:hAnsiTheme="minorHAnsi" w:cstheme="minorHAnsi"/>
          <w:sz w:val="22"/>
          <w:szCs w:val="22"/>
        </w:rPr>
        <w:t xml:space="preserve"> &gt; |2,576|)</w:t>
      </w:r>
      <w:r w:rsidR="00595611" w:rsidRPr="00595611">
        <w:rPr>
          <w:rFonts w:asciiTheme="minorHAnsi" w:eastAsia="Calibri" w:hAnsiTheme="minorHAnsi" w:cstheme="minorHAnsi"/>
          <w:sz w:val="22"/>
          <w:szCs w:val="22"/>
        </w:rPr>
        <w:t xml:space="preserve"> </w:t>
      </w:r>
      <w:proofErr w:type="spellStart"/>
      <w:r w:rsidR="00595611" w:rsidRPr="00CF7EBD">
        <w:rPr>
          <w:rFonts w:asciiTheme="minorHAnsi" w:eastAsia="Calibri" w:hAnsiTheme="minorHAnsi" w:cstheme="minorHAnsi"/>
          <w:sz w:val="22"/>
          <w:szCs w:val="22"/>
        </w:rPr>
        <w:t>Koufteros</w:t>
      </w:r>
      <w:proofErr w:type="spellEnd"/>
      <w:r w:rsidR="00595611" w:rsidRPr="00CF7EBD">
        <w:rPr>
          <w:rFonts w:asciiTheme="minorHAnsi" w:eastAsia="Calibri" w:hAnsiTheme="minorHAnsi" w:cstheme="minorHAnsi"/>
          <w:sz w:val="22"/>
          <w:szCs w:val="22"/>
        </w:rPr>
        <w:t>, 1999), παρέχοντας ενδείξεις για τη συγκλίνουσα εγκυρότητα της κλίμακας (</w:t>
      </w:r>
      <w:proofErr w:type="spellStart"/>
      <w:r w:rsidR="00595611" w:rsidRPr="00CF7EBD">
        <w:rPr>
          <w:rFonts w:asciiTheme="minorHAnsi" w:eastAsia="Calibri" w:hAnsiTheme="minorHAnsi" w:cstheme="minorHAnsi"/>
          <w:sz w:val="22"/>
          <w:szCs w:val="22"/>
        </w:rPr>
        <w:t>Koufteros</w:t>
      </w:r>
      <w:proofErr w:type="spellEnd"/>
      <w:r w:rsidR="00595611" w:rsidRPr="00CF7EBD">
        <w:rPr>
          <w:rFonts w:asciiTheme="minorHAnsi" w:eastAsia="Calibri" w:hAnsiTheme="minorHAnsi" w:cstheme="minorHAnsi"/>
          <w:sz w:val="22"/>
          <w:szCs w:val="22"/>
        </w:rPr>
        <w:t>, 1999</w:t>
      </w:r>
      <w:r w:rsidR="00595611" w:rsidRPr="006156D1">
        <w:rPr>
          <w:rFonts w:asciiTheme="minorHAnsi" w:eastAsia="Calibri" w:hAnsiTheme="minorHAnsi" w:cstheme="minorHAnsi"/>
          <w:sz w:val="22"/>
          <w:szCs w:val="22"/>
        </w:rPr>
        <w:t>) (</w:t>
      </w:r>
      <w:r w:rsidR="00595611" w:rsidRPr="006156D1">
        <w:rPr>
          <w:rFonts w:asciiTheme="minorHAnsi" w:eastAsia="Calibri" w:hAnsiTheme="minorHAnsi" w:cstheme="minorHAnsi"/>
          <w:bCs/>
          <w:sz w:val="22"/>
          <w:szCs w:val="22"/>
        </w:rPr>
        <w:t>Πίνακας</w:t>
      </w:r>
      <w:r w:rsidR="00595611" w:rsidRPr="006156D1">
        <w:rPr>
          <w:rFonts w:asciiTheme="minorHAnsi" w:eastAsia="Calibri" w:hAnsiTheme="minorHAnsi" w:cstheme="minorHAnsi"/>
          <w:sz w:val="22"/>
          <w:szCs w:val="22"/>
        </w:rPr>
        <w:t xml:space="preserve"> </w:t>
      </w:r>
      <w:r w:rsidR="00595611">
        <w:rPr>
          <w:rFonts w:asciiTheme="minorHAnsi" w:eastAsia="Calibri" w:hAnsiTheme="minorHAnsi" w:cstheme="minorHAnsi"/>
          <w:sz w:val="22"/>
          <w:szCs w:val="22"/>
        </w:rPr>
        <w:t>2</w:t>
      </w:r>
      <w:r w:rsidR="00595611" w:rsidRPr="006156D1">
        <w:rPr>
          <w:rFonts w:asciiTheme="minorHAnsi" w:eastAsia="Calibri" w:hAnsiTheme="minorHAnsi" w:cstheme="minorHAnsi"/>
          <w:sz w:val="22"/>
          <w:szCs w:val="22"/>
        </w:rPr>
        <w:t>).</w:t>
      </w:r>
    </w:p>
    <w:tbl>
      <w:tblPr>
        <w:tblpPr w:leftFromText="180" w:rightFromText="180" w:tblpXSpec="center" w:tblpY="870"/>
        <w:tblW w:w="7332" w:type="dxa"/>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1469"/>
        <w:gridCol w:w="1486"/>
        <w:gridCol w:w="1172"/>
        <w:gridCol w:w="1257"/>
        <w:gridCol w:w="1948"/>
      </w:tblGrid>
      <w:tr w:rsidR="00762A32" w:rsidRPr="006329C2" w14:paraId="33832291" w14:textId="77777777" w:rsidTr="00762A32">
        <w:tc>
          <w:tcPr>
            <w:tcW w:w="1469" w:type="dxa"/>
            <w:tcBorders>
              <w:top w:val="single" w:sz="4" w:space="0" w:color="auto"/>
              <w:left w:val="nil"/>
              <w:bottom w:val="single" w:sz="2" w:space="0" w:color="000000"/>
              <w:right w:val="nil"/>
            </w:tcBorders>
            <w:shd w:val="clear" w:color="auto" w:fill="FFFFFF"/>
            <w:vAlign w:val="center"/>
          </w:tcPr>
          <w:p w14:paraId="1F8903F0" w14:textId="77777777" w:rsidR="00762A32" w:rsidRPr="006329C2" w:rsidRDefault="00762A32" w:rsidP="00F87EBB">
            <w:pPr>
              <w:jc w:val="center"/>
              <w:rPr>
                <w:rFonts w:asciiTheme="minorHAnsi" w:eastAsia="Calibri" w:hAnsiTheme="minorHAnsi" w:cstheme="minorHAnsi"/>
                <w:bCs/>
                <w:color w:val="000000"/>
                <w:sz w:val="22"/>
                <w:szCs w:val="22"/>
              </w:rPr>
            </w:pPr>
            <w:r w:rsidRPr="006329C2">
              <w:rPr>
                <w:rFonts w:asciiTheme="minorHAnsi" w:eastAsia="Calibri" w:hAnsiTheme="minorHAnsi" w:cstheme="minorHAnsi"/>
                <w:bCs/>
                <w:color w:val="000000"/>
                <w:sz w:val="22"/>
                <w:szCs w:val="22"/>
              </w:rPr>
              <w:lastRenderedPageBreak/>
              <w:t>Αστάθμητη</w:t>
            </w:r>
            <w:r w:rsidRPr="006329C2">
              <w:rPr>
                <w:rFonts w:asciiTheme="minorHAnsi" w:eastAsia="Calibri" w:hAnsiTheme="minorHAnsi" w:cstheme="minorHAnsi"/>
                <w:bCs/>
                <w:color w:val="000000"/>
                <w:sz w:val="22"/>
                <w:szCs w:val="22"/>
                <w:lang w:val="en-US"/>
              </w:rPr>
              <w:t xml:space="preserve"> </w:t>
            </w:r>
            <w:r w:rsidRPr="006329C2">
              <w:rPr>
                <w:rFonts w:asciiTheme="minorHAnsi" w:eastAsia="Calibri" w:hAnsiTheme="minorHAnsi" w:cstheme="minorHAnsi"/>
                <w:bCs/>
                <w:color w:val="000000"/>
                <w:sz w:val="22"/>
                <w:szCs w:val="22"/>
              </w:rPr>
              <w:t>παραγοντική</w:t>
            </w:r>
            <w:r w:rsidRPr="006329C2">
              <w:rPr>
                <w:rFonts w:asciiTheme="minorHAnsi" w:eastAsia="Calibri" w:hAnsiTheme="minorHAnsi" w:cstheme="minorHAnsi"/>
                <w:bCs/>
                <w:color w:val="000000"/>
                <w:sz w:val="22"/>
                <w:szCs w:val="22"/>
                <w:lang w:val="en-US"/>
              </w:rPr>
              <w:t xml:space="preserve"> </w:t>
            </w:r>
            <w:r w:rsidRPr="006329C2">
              <w:rPr>
                <w:rFonts w:asciiTheme="minorHAnsi" w:eastAsia="Calibri" w:hAnsiTheme="minorHAnsi" w:cstheme="minorHAnsi"/>
                <w:bCs/>
                <w:color w:val="000000"/>
                <w:sz w:val="22"/>
                <w:szCs w:val="22"/>
              </w:rPr>
              <w:t>φόρτιση</w:t>
            </w:r>
          </w:p>
        </w:tc>
        <w:tc>
          <w:tcPr>
            <w:tcW w:w="1486" w:type="dxa"/>
            <w:tcBorders>
              <w:top w:val="single" w:sz="4" w:space="0" w:color="auto"/>
              <w:left w:val="nil"/>
              <w:bottom w:val="single" w:sz="2" w:space="0" w:color="000000"/>
              <w:right w:val="nil"/>
            </w:tcBorders>
            <w:shd w:val="clear" w:color="auto" w:fill="FFFFFF"/>
            <w:vAlign w:val="center"/>
          </w:tcPr>
          <w:p w14:paraId="6668CFAC" w14:textId="77777777" w:rsidR="00762A32" w:rsidRPr="006329C2" w:rsidRDefault="00762A32" w:rsidP="00F87EBB">
            <w:pPr>
              <w:jc w:val="center"/>
              <w:rPr>
                <w:rFonts w:asciiTheme="minorHAnsi" w:eastAsia="Calibri" w:hAnsiTheme="minorHAnsi" w:cstheme="minorHAnsi"/>
                <w:bCs/>
                <w:color w:val="000000"/>
                <w:sz w:val="22"/>
                <w:szCs w:val="22"/>
              </w:rPr>
            </w:pPr>
            <w:r w:rsidRPr="006329C2">
              <w:rPr>
                <w:rFonts w:asciiTheme="minorHAnsi" w:eastAsia="Calibri" w:hAnsiTheme="minorHAnsi" w:cstheme="minorHAnsi"/>
                <w:bCs/>
                <w:color w:val="000000"/>
                <w:sz w:val="22"/>
                <w:szCs w:val="22"/>
              </w:rPr>
              <w:t>Σταθμισμένη</w:t>
            </w:r>
            <w:r w:rsidRPr="006329C2">
              <w:rPr>
                <w:rFonts w:asciiTheme="minorHAnsi" w:eastAsia="Calibri" w:hAnsiTheme="minorHAnsi" w:cstheme="minorHAnsi"/>
                <w:bCs/>
                <w:color w:val="000000"/>
                <w:sz w:val="22"/>
                <w:szCs w:val="22"/>
                <w:lang w:val="en-US"/>
              </w:rPr>
              <w:t xml:space="preserve"> </w:t>
            </w:r>
            <w:r w:rsidRPr="006329C2">
              <w:rPr>
                <w:rFonts w:asciiTheme="minorHAnsi" w:eastAsia="Calibri" w:hAnsiTheme="minorHAnsi" w:cstheme="minorHAnsi"/>
                <w:bCs/>
                <w:color w:val="000000"/>
                <w:sz w:val="22"/>
                <w:szCs w:val="22"/>
              </w:rPr>
              <w:t>παραγοντική</w:t>
            </w:r>
            <w:r w:rsidRPr="006329C2">
              <w:rPr>
                <w:rFonts w:asciiTheme="minorHAnsi" w:eastAsia="Calibri" w:hAnsiTheme="minorHAnsi" w:cstheme="minorHAnsi"/>
                <w:bCs/>
                <w:color w:val="000000"/>
                <w:sz w:val="22"/>
                <w:szCs w:val="22"/>
                <w:lang w:val="en-US"/>
              </w:rPr>
              <w:t xml:space="preserve"> </w:t>
            </w:r>
            <w:r w:rsidRPr="006329C2">
              <w:rPr>
                <w:rFonts w:asciiTheme="minorHAnsi" w:eastAsia="Calibri" w:hAnsiTheme="minorHAnsi" w:cstheme="minorHAnsi"/>
                <w:bCs/>
                <w:color w:val="000000"/>
                <w:sz w:val="22"/>
                <w:szCs w:val="22"/>
              </w:rPr>
              <w:t>φόρτιση</w:t>
            </w:r>
          </w:p>
        </w:tc>
        <w:tc>
          <w:tcPr>
            <w:tcW w:w="1172" w:type="dxa"/>
            <w:tcBorders>
              <w:top w:val="single" w:sz="4" w:space="0" w:color="auto"/>
              <w:left w:val="nil"/>
              <w:bottom w:val="single" w:sz="2" w:space="0" w:color="000000"/>
              <w:right w:val="nil"/>
            </w:tcBorders>
            <w:shd w:val="clear" w:color="auto" w:fill="FFFFFF"/>
            <w:vAlign w:val="center"/>
          </w:tcPr>
          <w:p w14:paraId="5DF3F03F" w14:textId="77777777" w:rsidR="00762A32" w:rsidRPr="006329C2" w:rsidRDefault="00762A32" w:rsidP="00F87EBB">
            <w:pPr>
              <w:jc w:val="center"/>
              <w:rPr>
                <w:rFonts w:asciiTheme="minorHAnsi" w:eastAsia="Calibri" w:hAnsiTheme="minorHAnsi" w:cstheme="minorHAnsi"/>
                <w:bCs/>
                <w:color w:val="000000"/>
                <w:sz w:val="22"/>
                <w:szCs w:val="22"/>
              </w:rPr>
            </w:pPr>
            <w:r w:rsidRPr="006329C2">
              <w:rPr>
                <w:rFonts w:asciiTheme="minorHAnsi" w:eastAsia="Calibri" w:hAnsiTheme="minorHAnsi" w:cstheme="minorHAnsi"/>
                <w:bCs/>
                <w:color w:val="000000"/>
                <w:sz w:val="22"/>
                <w:szCs w:val="22"/>
              </w:rPr>
              <w:t>Τυπικό σφάλμα</w:t>
            </w:r>
          </w:p>
        </w:tc>
        <w:tc>
          <w:tcPr>
            <w:tcW w:w="1257" w:type="dxa"/>
            <w:tcBorders>
              <w:top w:val="single" w:sz="4" w:space="0" w:color="auto"/>
              <w:left w:val="nil"/>
              <w:bottom w:val="single" w:sz="2" w:space="0" w:color="000000"/>
              <w:right w:val="nil"/>
            </w:tcBorders>
            <w:shd w:val="clear" w:color="auto" w:fill="FFFFFF"/>
            <w:vAlign w:val="center"/>
          </w:tcPr>
          <w:p w14:paraId="725476E7" w14:textId="77777777" w:rsidR="00762A32" w:rsidRPr="006329C2" w:rsidRDefault="00762A32" w:rsidP="00F87EBB">
            <w:pPr>
              <w:jc w:val="center"/>
              <w:rPr>
                <w:rFonts w:asciiTheme="minorHAnsi" w:eastAsia="Calibri" w:hAnsiTheme="minorHAnsi" w:cstheme="minorHAnsi"/>
                <w:bCs/>
                <w:color w:val="000000"/>
                <w:sz w:val="22"/>
                <w:szCs w:val="22"/>
              </w:rPr>
            </w:pPr>
            <w:r w:rsidRPr="006329C2">
              <w:rPr>
                <w:rFonts w:asciiTheme="minorHAnsi" w:eastAsia="Calibri" w:hAnsiTheme="minorHAnsi" w:cstheme="minorHAnsi"/>
                <w:bCs/>
                <w:color w:val="000000"/>
                <w:sz w:val="22"/>
                <w:szCs w:val="22"/>
              </w:rPr>
              <w:t>Κρίσιμη Τιμή</w:t>
            </w:r>
            <w:r w:rsidRPr="006329C2">
              <w:rPr>
                <w:rFonts w:asciiTheme="minorHAnsi" w:eastAsia="Calibri" w:hAnsiTheme="minorHAnsi" w:cstheme="minorHAnsi"/>
                <w:bCs/>
                <w:color w:val="000000"/>
                <w:sz w:val="22"/>
                <w:szCs w:val="22"/>
                <w:vertAlign w:val="superscript"/>
                <w:lang w:val="en-US"/>
              </w:rPr>
              <w:t>b</w:t>
            </w:r>
          </w:p>
        </w:tc>
        <w:tc>
          <w:tcPr>
            <w:tcW w:w="1948" w:type="dxa"/>
            <w:tcBorders>
              <w:top w:val="single" w:sz="4" w:space="0" w:color="auto"/>
              <w:left w:val="nil"/>
              <w:bottom w:val="single" w:sz="2" w:space="0" w:color="000000"/>
              <w:right w:val="nil"/>
            </w:tcBorders>
            <w:shd w:val="clear" w:color="auto" w:fill="FFFFFF"/>
            <w:vAlign w:val="center"/>
          </w:tcPr>
          <w:p w14:paraId="2D6269D7" w14:textId="77777777" w:rsidR="00762A32" w:rsidRPr="006329C2" w:rsidRDefault="00762A32" w:rsidP="00F87EBB">
            <w:pPr>
              <w:jc w:val="center"/>
              <w:rPr>
                <w:rFonts w:asciiTheme="minorHAnsi" w:eastAsia="Calibri" w:hAnsiTheme="minorHAnsi" w:cstheme="minorHAnsi"/>
                <w:bCs/>
                <w:color w:val="000000"/>
                <w:sz w:val="22"/>
                <w:szCs w:val="22"/>
              </w:rPr>
            </w:pPr>
            <w:r w:rsidRPr="006329C2">
              <w:rPr>
                <w:rFonts w:asciiTheme="minorHAnsi" w:eastAsia="Calibri" w:hAnsiTheme="minorHAnsi" w:cstheme="minorHAnsi"/>
                <w:bCs/>
                <w:color w:val="000000"/>
                <w:sz w:val="22"/>
                <w:szCs w:val="22"/>
              </w:rPr>
              <w:t>Τετραγωνισμένη παραγοντική φόρτιση</w:t>
            </w:r>
          </w:p>
        </w:tc>
      </w:tr>
      <w:tr w:rsidR="00762A32" w:rsidRPr="006329C2" w14:paraId="00ED13DC" w14:textId="77777777" w:rsidTr="00762A32">
        <w:tc>
          <w:tcPr>
            <w:tcW w:w="1469" w:type="dxa"/>
            <w:tcBorders>
              <w:top w:val="single" w:sz="2" w:space="0" w:color="000000"/>
              <w:left w:val="nil"/>
              <w:right w:val="nil"/>
            </w:tcBorders>
            <w:shd w:val="clear" w:color="auto" w:fill="FFFFFF"/>
            <w:vAlign w:val="center"/>
          </w:tcPr>
          <w:p w14:paraId="7B0B272C" w14:textId="77777777" w:rsidR="00762A32" w:rsidRPr="006329C2" w:rsidRDefault="00762A32" w:rsidP="00F87EBB">
            <w:pPr>
              <w:jc w:val="cente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lang w:val="en-US"/>
              </w:rPr>
              <w:t>1,000</w:t>
            </w:r>
          </w:p>
        </w:tc>
        <w:tc>
          <w:tcPr>
            <w:tcW w:w="1486" w:type="dxa"/>
            <w:tcBorders>
              <w:top w:val="single" w:sz="2" w:space="0" w:color="000000"/>
              <w:left w:val="nil"/>
              <w:right w:val="nil"/>
            </w:tcBorders>
            <w:shd w:val="clear" w:color="auto" w:fill="FFFFFF"/>
            <w:vAlign w:val="center"/>
          </w:tcPr>
          <w:p w14:paraId="75EAB3E6"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0,962</w:t>
            </w:r>
          </w:p>
        </w:tc>
        <w:tc>
          <w:tcPr>
            <w:tcW w:w="1172" w:type="dxa"/>
            <w:tcBorders>
              <w:top w:val="single" w:sz="2" w:space="0" w:color="000000"/>
              <w:left w:val="nil"/>
              <w:right w:val="nil"/>
            </w:tcBorders>
            <w:shd w:val="clear" w:color="auto" w:fill="FFFFFF"/>
            <w:vAlign w:val="center"/>
          </w:tcPr>
          <w:p w14:paraId="48047491" w14:textId="77777777" w:rsidR="00762A32" w:rsidRPr="006329C2" w:rsidRDefault="00762A32" w:rsidP="00F87EBB">
            <w:pPr>
              <w:jc w:val="cente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lang w:val="en-US"/>
              </w:rPr>
              <w:t>_a</w:t>
            </w:r>
          </w:p>
        </w:tc>
        <w:tc>
          <w:tcPr>
            <w:tcW w:w="1257" w:type="dxa"/>
            <w:tcBorders>
              <w:top w:val="single" w:sz="2" w:space="0" w:color="000000"/>
              <w:left w:val="nil"/>
              <w:right w:val="nil"/>
            </w:tcBorders>
            <w:shd w:val="clear" w:color="auto" w:fill="FFFFFF"/>
            <w:vAlign w:val="center"/>
          </w:tcPr>
          <w:p w14:paraId="6DF8BBCF"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_a</w:t>
            </w:r>
          </w:p>
        </w:tc>
        <w:tc>
          <w:tcPr>
            <w:tcW w:w="1948" w:type="dxa"/>
            <w:tcBorders>
              <w:top w:val="single" w:sz="2" w:space="0" w:color="000000"/>
              <w:left w:val="nil"/>
              <w:right w:val="nil"/>
            </w:tcBorders>
            <w:shd w:val="clear" w:color="auto" w:fill="FFFFFF"/>
            <w:vAlign w:val="center"/>
          </w:tcPr>
          <w:p w14:paraId="7A49EBEE"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0,925</w:t>
            </w:r>
          </w:p>
        </w:tc>
      </w:tr>
      <w:tr w:rsidR="00762A32" w:rsidRPr="006329C2" w14:paraId="523D5CD9" w14:textId="77777777" w:rsidTr="00762A32">
        <w:tc>
          <w:tcPr>
            <w:tcW w:w="1469" w:type="dxa"/>
            <w:shd w:val="clear" w:color="auto" w:fill="FFFFFF"/>
            <w:vAlign w:val="center"/>
          </w:tcPr>
          <w:p w14:paraId="284A4CE4"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0,984</w:t>
            </w:r>
          </w:p>
        </w:tc>
        <w:tc>
          <w:tcPr>
            <w:tcW w:w="1486" w:type="dxa"/>
            <w:shd w:val="clear" w:color="auto" w:fill="FFFFFF"/>
            <w:vAlign w:val="center"/>
          </w:tcPr>
          <w:p w14:paraId="45748F06"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0,976</w:t>
            </w:r>
          </w:p>
        </w:tc>
        <w:tc>
          <w:tcPr>
            <w:tcW w:w="1172" w:type="dxa"/>
            <w:shd w:val="clear" w:color="auto" w:fill="FFFFFF"/>
            <w:vAlign w:val="center"/>
          </w:tcPr>
          <w:p w14:paraId="239FA040"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0,024</w:t>
            </w:r>
          </w:p>
        </w:tc>
        <w:tc>
          <w:tcPr>
            <w:tcW w:w="1257" w:type="dxa"/>
            <w:shd w:val="clear" w:color="auto" w:fill="FFFFFF"/>
            <w:vAlign w:val="center"/>
          </w:tcPr>
          <w:p w14:paraId="3DD388EC"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rPr>
              <w:t>40,781***</w:t>
            </w:r>
          </w:p>
        </w:tc>
        <w:tc>
          <w:tcPr>
            <w:tcW w:w="1948" w:type="dxa"/>
            <w:shd w:val="clear" w:color="auto" w:fill="FFFFFF"/>
            <w:vAlign w:val="center"/>
          </w:tcPr>
          <w:p w14:paraId="77389F1F"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0,953</w:t>
            </w:r>
          </w:p>
        </w:tc>
      </w:tr>
      <w:tr w:rsidR="00762A32" w:rsidRPr="006329C2" w14:paraId="70F37C57" w14:textId="77777777" w:rsidTr="00762A32">
        <w:tc>
          <w:tcPr>
            <w:tcW w:w="1469" w:type="dxa"/>
            <w:tcBorders>
              <w:left w:val="nil"/>
              <w:right w:val="nil"/>
            </w:tcBorders>
            <w:shd w:val="clear" w:color="auto" w:fill="FFFFFF"/>
            <w:vAlign w:val="center"/>
          </w:tcPr>
          <w:p w14:paraId="19DDAE80"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w:t>
            </w:r>
            <w:r w:rsidRPr="006329C2">
              <w:rPr>
                <w:rFonts w:asciiTheme="minorHAnsi" w:eastAsia="Calibri" w:hAnsiTheme="minorHAnsi" w:cstheme="minorHAnsi"/>
                <w:color w:val="000000"/>
                <w:sz w:val="22"/>
                <w:szCs w:val="22"/>
              </w:rPr>
              <w:t>,877</w:t>
            </w:r>
          </w:p>
        </w:tc>
        <w:tc>
          <w:tcPr>
            <w:tcW w:w="1486" w:type="dxa"/>
            <w:tcBorders>
              <w:left w:val="nil"/>
              <w:right w:val="nil"/>
            </w:tcBorders>
            <w:shd w:val="clear" w:color="auto" w:fill="FFFFFF"/>
            <w:vAlign w:val="center"/>
          </w:tcPr>
          <w:p w14:paraId="687C12A7"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0,839</w:t>
            </w:r>
          </w:p>
        </w:tc>
        <w:tc>
          <w:tcPr>
            <w:tcW w:w="1172" w:type="dxa"/>
            <w:tcBorders>
              <w:left w:val="nil"/>
              <w:right w:val="nil"/>
            </w:tcBorders>
            <w:shd w:val="clear" w:color="auto" w:fill="FFFFFF"/>
            <w:vAlign w:val="center"/>
          </w:tcPr>
          <w:p w14:paraId="7AE48CAC"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0,041</w:t>
            </w:r>
          </w:p>
        </w:tc>
        <w:tc>
          <w:tcPr>
            <w:tcW w:w="1257" w:type="dxa"/>
            <w:tcBorders>
              <w:left w:val="nil"/>
              <w:right w:val="nil"/>
            </w:tcBorders>
            <w:shd w:val="clear" w:color="auto" w:fill="FFFFFF"/>
            <w:vAlign w:val="center"/>
          </w:tcPr>
          <w:p w14:paraId="2CF593ED" w14:textId="77777777" w:rsidR="00762A32" w:rsidRPr="006329C2" w:rsidRDefault="00762A32" w:rsidP="00F87EBB">
            <w:pPr>
              <w:jc w:val="cente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rPr>
              <w:t>21,576***</w:t>
            </w:r>
          </w:p>
        </w:tc>
        <w:tc>
          <w:tcPr>
            <w:tcW w:w="1948" w:type="dxa"/>
            <w:tcBorders>
              <w:left w:val="nil"/>
              <w:right w:val="nil"/>
            </w:tcBorders>
            <w:shd w:val="clear" w:color="auto" w:fill="FFFFFF"/>
            <w:vAlign w:val="center"/>
          </w:tcPr>
          <w:p w14:paraId="6438C53C"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0,704</w:t>
            </w:r>
          </w:p>
        </w:tc>
      </w:tr>
      <w:tr w:rsidR="00762A32" w:rsidRPr="006329C2" w14:paraId="7AE5401E" w14:textId="77777777" w:rsidTr="00762A32">
        <w:tc>
          <w:tcPr>
            <w:tcW w:w="1469" w:type="dxa"/>
            <w:shd w:val="clear" w:color="auto" w:fill="FFFFFF"/>
            <w:vAlign w:val="center"/>
          </w:tcPr>
          <w:p w14:paraId="7A6FE3FB"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w:t>
            </w:r>
            <w:r w:rsidRPr="006329C2">
              <w:rPr>
                <w:rFonts w:asciiTheme="minorHAnsi" w:eastAsia="Calibri" w:hAnsiTheme="minorHAnsi" w:cstheme="minorHAnsi"/>
                <w:color w:val="000000"/>
                <w:sz w:val="22"/>
                <w:szCs w:val="22"/>
              </w:rPr>
              <w:t>,987</w:t>
            </w:r>
          </w:p>
        </w:tc>
        <w:tc>
          <w:tcPr>
            <w:tcW w:w="1486" w:type="dxa"/>
            <w:shd w:val="clear" w:color="auto" w:fill="FFFFFF"/>
            <w:vAlign w:val="center"/>
          </w:tcPr>
          <w:p w14:paraId="3189FCB6"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w:t>
            </w:r>
            <w:r w:rsidRPr="006329C2">
              <w:rPr>
                <w:rFonts w:asciiTheme="minorHAnsi" w:eastAsia="Calibri" w:hAnsiTheme="minorHAnsi" w:cstheme="minorHAnsi"/>
                <w:color w:val="000000"/>
                <w:sz w:val="22"/>
                <w:szCs w:val="22"/>
              </w:rPr>
              <w:t>,897</w:t>
            </w:r>
          </w:p>
        </w:tc>
        <w:tc>
          <w:tcPr>
            <w:tcW w:w="1172" w:type="dxa"/>
            <w:shd w:val="clear" w:color="auto" w:fill="FFFFFF"/>
            <w:vAlign w:val="center"/>
          </w:tcPr>
          <w:p w14:paraId="15B09495"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w:t>
            </w:r>
            <w:r w:rsidRPr="006329C2">
              <w:rPr>
                <w:rFonts w:asciiTheme="minorHAnsi" w:eastAsia="Calibri" w:hAnsiTheme="minorHAnsi" w:cstheme="minorHAnsi"/>
                <w:color w:val="000000"/>
                <w:sz w:val="22"/>
                <w:szCs w:val="22"/>
              </w:rPr>
              <w:t>,037</w:t>
            </w:r>
          </w:p>
        </w:tc>
        <w:tc>
          <w:tcPr>
            <w:tcW w:w="1257" w:type="dxa"/>
            <w:shd w:val="clear" w:color="auto" w:fill="FFFFFF"/>
            <w:vAlign w:val="center"/>
          </w:tcPr>
          <w:p w14:paraId="3240D007"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rPr>
              <w:t>26,756***</w:t>
            </w:r>
          </w:p>
        </w:tc>
        <w:tc>
          <w:tcPr>
            <w:tcW w:w="1948" w:type="dxa"/>
            <w:shd w:val="clear" w:color="auto" w:fill="FFFFFF"/>
            <w:vAlign w:val="center"/>
          </w:tcPr>
          <w:p w14:paraId="7B796359"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w:t>
            </w:r>
            <w:r w:rsidRPr="006329C2">
              <w:rPr>
                <w:rFonts w:asciiTheme="minorHAnsi" w:eastAsia="Calibri" w:hAnsiTheme="minorHAnsi" w:cstheme="minorHAnsi"/>
                <w:color w:val="000000"/>
                <w:sz w:val="22"/>
                <w:szCs w:val="22"/>
              </w:rPr>
              <w:t>,805</w:t>
            </w:r>
          </w:p>
        </w:tc>
      </w:tr>
      <w:tr w:rsidR="00762A32" w:rsidRPr="006329C2" w14:paraId="2F6D31EE" w14:textId="77777777" w:rsidTr="00762A32">
        <w:tc>
          <w:tcPr>
            <w:tcW w:w="1469" w:type="dxa"/>
            <w:tcBorders>
              <w:left w:val="nil"/>
              <w:right w:val="nil"/>
            </w:tcBorders>
            <w:shd w:val="clear" w:color="auto" w:fill="FFFFFF"/>
            <w:vAlign w:val="center"/>
          </w:tcPr>
          <w:p w14:paraId="66CC92D9"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w:t>
            </w:r>
            <w:r w:rsidRPr="006329C2">
              <w:rPr>
                <w:rFonts w:asciiTheme="minorHAnsi" w:eastAsia="Calibri" w:hAnsiTheme="minorHAnsi" w:cstheme="minorHAnsi"/>
                <w:color w:val="000000"/>
                <w:sz w:val="22"/>
                <w:szCs w:val="22"/>
              </w:rPr>
              <w:t>,874</w:t>
            </w:r>
          </w:p>
        </w:tc>
        <w:tc>
          <w:tcPr>
            <w:tcW w:w="1486" w:type="dxa"/>
            <w:tcBorders>
              <w:left w:val="nil"/>
              <w:right w:val="nil"/>
            </w:tcBorders>
            <w:shd w:val="clear" w:color="auto" w:fill="FFFFFF"/>
            <w:vAlign w:val="center"/>
          </w:tcPr>
          <w:p w14:paraId="512A8D63"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w:t>
            </w:r>
            <w:r w:rsidRPr="006329C2">
              <w:rPr>
                <w:rFonts w:asciiTheme="minorHAnsi" w:eastAsia="Calibri" w:hAnsiTheme="minorHAnsi" w:cstheme="minorHAnsi"/>
                <w:color w:val="000000"/>
                <w:sz w:val="22"/>
                <w:szCs w:val="22"/>
              </w:rPr>
              <w:t>,712</w:t>
            </w:r>
          </w:p>
        </w:tc>
        <w:tc>
          <w:tcPr>
            <w:tcW w:w="1172" w:type="dxa"/>
            <w:tcBorders>
              <w:left w:val="nil"/>
              <w:right w:val="nil"/>
            </w:tcBorders>
            <w:shd w:val="clear" w:color="auto" w:fill="FFFFFF"/>
            <w:vAlign w:val="center"/>
          </w:tcPr>
          <w:p w14:paraId="687EE0C9"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0,059</w:t>
            </w:r>
          </w:p>
        </w:tc>
        <w:tc>
          <w:tcPr>
            <w:tcW w:w="1257" w:type="dxa"/>
            <w:tcBorders>
              <w:left w:val="nil"/>
              <w:right w:val="nil"/>
            </w:tcBorders>
            <w:shd w:val="clear" w:color="auto" w:fill="FFFFFF"/>
            <w:vAlign w:val="center"/>
          </w:tcPr>
          <w:p w14:paraId="66826658"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rPr>
              <w:t>14,928***</w:t>
            </w:r>
          </w:p>
        </w:tc>
        <w:tc>
          <w:tcPr>
            <w:tcW w:w="1948" w:type="dxa"/>
            <w:tcBorders>
              <w:left w:val="nil"/>
              <w:right w:val="nil"/>
            </w:tcBorders>
            <w:shd w:val="clear" w:color="auto" w:fill="FFFFFF"/>
            <w:vAlign w:val="center"/>
          </w:tcPr>
          <w:p w14:paraId="339D2A51"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0,507</w:t>
            </w:r>
          </w:p>
        </w:tc>
      </w:tr>
      <w:tr w:rsidR="00762A32" w:rsidRPr="006329C2" w14:paraId="3930060C" w14:textId="77777777" w:rsidTr="00762A32">
        <w:tc>
          <w:tcPr>
            <w:tcW w:w="1469" w:type="dxa"/>
            <w:tcBorders>
              <w:left w:val="nil"/>
              <w:right w:val="nil"/>
            </w:tcBorders>
            <w:shd w:val="clear" w:color="auto" w:fill="FFFFFF"/>
            <w:vAlign w:val="center"/>
          </w:tcPr>
          <w:p w14:paraId="26B8D3D6"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w:t>
            </w:r>
            <w:r w:rsidRPr="006329C2">
              <w:rPr>
                <w:rFonts w:asciiTheme="minorHAnsi" w:eastAsia="Calibri" w:hAnsiTheme="minorHAnsi" w:cstheme="minorHAnsi"/>
                <w:color w:val="000000"/>
                <w:sz w:val="22"/>
                <w:szCs w:val="22"/>
              </w:rPr>
              <w:t>,832</w:t>
            </w:r>
          </w:p>
        </w:tc>
        <w:tc>
          <w:tcPr>
            <w:tcW w:w="1486" w:type="dxa"/>
            <w:tcBorders>
              <w:left w:val="nil"/>
              <w:right w:val="nil"/>
            </w:tcBorders>
            <w:shd w:val="clear" w:color="auto" w:fill="FFFFFF"/>
            <w:vAlign w:val="center"/>
          </w:tcPr>
          <w:p w14:paraId="1BA39189"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w:t>
            </w:r>
            <w:r w:rsidRPr="006329C2">
              <w:rPr>
                <w:rFonts w:asciiTheme="minorHAnsi" w:eastAsia="Calibri" w:hAnsiTheme="minorHAnsi" w:cstheme="minorHAnsi"/>
                <w:color w:val="000000"/>
                <w:sz w:val="22"/>
                <w:szCs w:val="22"/>
              </w:rPr>
              <w:t>,720</w:t>
            </w:r>
          </w:p>
        </w:tc>
        <w:tc>
          <w:tcPr>
            <w:tcW w:w="1172" w:type="dxa"/>
            <w:tcBorders>
              <w:left w:val="nil"/>
              <w:right w:val="nil"/>
            </w:tcBorders>
            <w:shd w:val="clear" w:color="auto" w:fill="FFFFFF"/>
            <w:vAlign w:val="center"/>
          </w:tcPr>
          <w:p w14:paraId="6D12F19C" w14:textId="77777777" w:rsidR="00762A32" w:rsidRPr="006329C2" w:rsidRDefault="00762A32" w:rsidP="00F87EBB">
            <w:pPr>
              <w:jc w:val="cente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lang w:val="en-US"/>
              </w:rPr>
              <w:t>0,055</w:t>
            </w:r>
          </w:p>
        </w:tc>
        <w:tc>
          <w:tcPr>
            <w:tcW w:w="1257" w:type="dxa"/>
            <w:tcBorders>
              <w:left w:val="nil"/>
              <w:right w:val="nil"/>
            </w:tcBorders>
            <w:shd w:val="clear" w:color="auto" w:fill="FFFFFF"/>
            <w:vAlign w:val="center"/>
          </w:tcPr>
          <w:p w14:paraId="0ACBDA65"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rPr>
              <w:t>15,226***</w:t>
            </w:r>
          </w:p>
        </w:tc>
        <w:tc>
          <w:tcPr>
            <w:tcW w:w="1948" w:type="dxa"/>
            <w:tcBorders>
              <w:left w:val="nil"/>
              <w:right w:val="nil"/>
            </w:tcBorders>
            <w:shd w:val="clear" w:color="auto" w:fill="FFFFFF"/>
            <w:vAlign w:val="center"/>
          </w:tcPr>
          <w:p w14:paraId="49861DBF" w14:textId="77777777" w:rsidR="00762A32" w:rsidRPr="006329C2" w:rsidRDefault="00762A32" w:rsidP="00F87EBB">
            <w:pPr>
              <w:jc w:val="cente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lang w:val="en-US"/>
              </w:rPr>
              <w:t>0,519</w:t>
            </w:r>
          </w:p>
        </w:tc>
      </w:tr>
      <w:tr w:rsidR="00762A32" w:rsidRPr="006329C2" w14:paraId="00AB28E0" w14:textId="77777777" w:rsidTr="00762A32">
        <w:tc>
          <w:tcPr>
            <w:tcW w:w="1469" w:type="dxa"/>
            <w:tcBorders>
              <w:left w:val="nil"/>
              <w:right w:val="nil"/>
            </w:tcBorders>
            <w:shd w:val="clear" w:color="auto" w:fill="FFFFFF"/>
            <w:vAlign w:val="center"/>
          </w:tcPr>
          <w:p w14:paraId="2BDC9114"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w:t>
            </w:r>
            <w:r w:rsidRPr="006329C2">
              <w:rPr>
                <w:rFonts w:asciiTheme="minorHAnsi" w:eastAsia="Calibri" w:hAnsiTheme="minorHAnsi" w:cstheme="minorHAnsi"/>
                <w:color w:val="000000"/>
                <w:sz w:val="22"/>
                <w:szCs w:val="22"/>
              </w:rPr>
              <w:t>,817</w:t>
            </w:r>
          </w:p>
        </w:tc>
        <w:tc>
          <w:tcPr>
            <w:tcW w:w="1486" w:type="dxa"/>
            <w:tcBorders>
              <w:left w:val="nil"/>
              <w:right w:val="nil"/>
            </w:tcBorders>
            <w:shd w:val="clear" w:color="auto" w:fill="FFFFFF"/>
            <w:vAlign w:val="center"/>
          </w:tcPr>
          <w:p w14:paraId="47B674DF"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w:t>
            </w:r>
            <w:r w:rsidRPr="006329C2">
              <w:rPr>
                <w:rFonts w:asciiTheme="minorHAnsi" w:eastAsia="Calibri" w:hAnsiTheme="minorHAnsi" w:cstheme="minorHAnsi"/>
                <w:color w:val="000000"/>
                <w:sz w:val="22"/>
                <w:szCs w:val="22"/>
              </w:rPr>
              <w:t>,731</w:t>
            </w:r>
          </w:p>
        </w:tc>
        <w:tc>
          <w:tcPr>
            <w:tcW w:w="1172" w:type="dxa"/>
            <w:tcBorders>
              <w:left w:val="nil"/>
              <w:right w:val="nil"/>
            </w:tcBorders>
            <w:shd w:val="clear" w:color="auto" w:fill="FFFFFF"/>
            <w:vAlign w:val="center"/>
          </w:tcPr>
          <w:p w14:paraId="3DAE693A" w14:textId="77777777" w:rsidR="00762A32" w:rsidRPr="006329C2" w:rsidRDefault="00762A32" w:rsidP="00F87EBB">
            <w:pPr>
              <w:jc w:val="cente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lang w:val="en-US"/>
              </w:rPr>
              <w:t>0,052</w:t>
            </w:r>
          </w:p>
        </w:tc>
        <w:tc>
          <w:tcPr>
            <w:tcW w:w="1257" w:type="dxa"/>
            <w:tcBorders>
              <w:left w:val="nil"/>
              <w:right w:val="nil"/>
            </w:tcBorders>
            <w:shd w:val="clear" w:color="auto" w:fill="FFFFFF"/>
            <w:vAlign w:val="center"/>
          </w:tcPr>
          <w:p w14:paraId="6707A438"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rPr>
              <w:t>15,623***</w:t>
            </w:r>
          </w:p>
        </w:tc>
        <w:tc>
          <w:tcPr>
            <w:tcW w:w="1948" w:type="dxa"/>
            <w:tcBorders>
              <w:left w:val="nil"/>
              <w:right w:val="nil"/>
            </w:tcBorders>
            <w:shd w:val="clear" w:color="auto" w:fill="FFFFFF"/>
            <w:vAlign w:val="center"/>
          </w:tcPr>
          <w:p w14:paraId="2B33E37E" w14:textId="77777777" w:rsidR="00762A32" w:rsidRPr="006329C2" w:rsidRDefault="00762A32" w:rsidP="00F87EBB">
            <w:pPr>
              <w:jc w:val="cente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lang w:val="en-US"/>
              </w:rPr>
              <w:t>0,534</w:t>
            </w:r>
          </w:p>
        </w:tc>
      </w:tr>
      <w:tr w:rsidR="00762A32" w:rsidRPr="006329C2" w14:paraId="5488FC89" w14:textId="77777777" w:rsidTr="00762A32">
        <w:tc>
          <w:tcPr>
            <w:tcW w:w="1469" w:type="dxa"/>
            <w:tcBorders>
              <w:left w:val="nil"/>
              <w:right w:val="nil"/>
            </w:tcBorders>
            <w:shd w:val="clear" w:color="auto" w:fill="FFFFFF"/>
            <w:vAlign w:val="center"/>
          </w:tcPr>
          <w:p w14:paraId="7FB631C4" w14:textId="77777777" w:rsidR="00762A32" w:rsidRPr="006329C2" w:rsidRDefault="00762A32" w:rsidP="00F87EBB">
            <w:pPr>
              <w:jc w:val="cente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rPr>
              <w:t>1,000</w:t>
            </w:r>
          </w:p>
        </w:tc>
        <w:tc>
          <w:tcPr>
            <w:tcW w:w="1486" w:type="dxa"/>
            <w:tcBorders>
              <w:left w:val="nil"/>
              <w:right w:val="nil"/>
            </w:tcBorders>
            <w:shd w:val="clear" w:color="auto" w:fill="FFFFFF"/>
            <w:vAlign w:val="center"/>
          </w:tcPr>
          <w:p w14:paraId="0BA03A1F"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0,807</w:t>
            </w:r>
          </w:p>
        </w:tc>
        <w:tc>
          <w:tcPr>
            <w:tcW w:w="1172" w:type="dxa"/>
            <w:tcBorders>
              <w:left w:val="nil"/>
              <w:right w:val="nil"/>
            </w:tcBorders>
            <w:shd w:val="clear" w:color="auto" w:fill="FFFFFF"/>
            <w:vAlign w:val="center"/>
          </w:tcPr>
          <w:p w14:paraId="1CE26BF0"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_a</w:t>
            </w:r>
          </w:p>
        </w:tc>
        <w:tc>
          <w:tcPr>
            <w:tcW w:w="1257" w:type="dxa"/>
            <w:tcBorders>
              <w:left w:val="nil"/>
              <w:right w:val="nil"/>
            </w:tcBorders>
            <w:shd w:val="clear" w:color="auto" w:fill="FFFFFF"/>
            <w:vAlign w:val="center"/>
          </w:tcPr>
          <w:p w14:paraId="3553A444"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_a</w:t>
            </w:r>
          </w:p>
        </w:tc>
        <w:tc>
          <w:tcPr>
            <w:tcW w:w="1948" w:type="dxa"/>
            <w:tcBorders>
              <w:left w:val="nil"/>
              <w:right w:val="nil"/>
            </w:tcBorders>
            <w:shd w:val="clear" w:color="auto" w:fill="FFFFFF"/>
            <w:vAlign w:val="center"/>
          </w:tcPr>
          <w:p w14:paraId="64D18284"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0,650</w:t>
            </w:r>
          </w:p>
        </w:tc>
      </w:tr>
      <w:tr w:rsidR="00762A32" w:rsidRPr="006329C2" w14:paraId="2D58641D" w14:textId="77777777" w:rsidTr="00762A32">
        <w:tc>
          <w:tcPr>
            <w:tcW w:w="1469" w:type="dxa"/>
            <w:shd w:val="clear" w:color="auto" w:fill="FFFFFF"/>
            <w:vAlign w:val="center"/>
          </w:tcPr>
          <w:p w14:paraId="3626072D"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0,986</w:t>
            </w:r>
          </w:p>
        </w:tc>
        <w:tc>
          <w:tcPr>
            <w:tcW w:w="1486" w:type="dxa"/>
            <w:shd w:val="clear" w:color="auto" w:fill="FFFFFF"/>
            <w:vAlign w:val="center"/>
          </w:tcPr>
          <w:p w14:paraId="6BEE10C1"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0,690</w:t>
            </w:r>
          </w:p>
        </w:tc>
        <w:tc>
          <w:tcPr>
            <w:tcW w:w="1172" w:type="dxa"/>
            <w:shd w:val="clear" w:color="auto" w:fill="FFFFFF"/>
            <w:vAlign w:val="center"/>
          </w:tcPr>
          <w:p w14:paraId="270599ED"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0,128</w:t>
            </w:r>
          </w:p>
        </w:tc>
        <w:tc>
          <w:tcPr>
            <w:tcW w:w="1257" w:type="dxa"/>
            <w:shd w:val="clear" w:color="auto" w:fill="FFFFFF"/>
            <w:vAlign w:val="center"/>
          </w:tcPr>
          <w:p w14:paraId="1CEEDC76"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rPr>
              <w:t>7,684***</w:t>
            </w:r>
          </w:p>
        </w:tc>
        <w:tc>
          <w:tcPr>
            <w:tcW w:w="1948" w:type="dxa"/>
            <w:shd w:val="clear" w:color="auto" w:fill="FFFFFF"/>
            <w:vAlign w:val="center"/>
          </w:tcPr>
          <w:p w14:paraId="128C59A9"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0,477</w:t>
            </w:r>
          </w:p>
        </w:tc>
      </w:tr>
      <w:tr w:rsidR="00762A32" w:rsidRPr="006329C2" w14:paraId="76D4202B" w14:textId="77777777" w:rsidTr="00762A32">
        <w:tc>
          <w:tcPr>
            <w:tcW w:w="1469" w:type="dxa"/>
            <w:tcBorders>
              <w:left w:val="nil"/>
              <w:right w:val="nil"/>
            </w:tcBorders>
            <w:shd w:val="clear" w:color="auto" w:fill="FFFFFF"/>
            <w:vAlign w:val="center"/>
          </w:tcPr>
          <w:p w14:paraId="5844B542"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0,620</w:t>
            </w:r>
          </w:p>
        </w:tc>
        <w:tc>
          <w:tcPr>
            <w:tcW w:w="1486" w:type="dxa"/>
            <w:tcBorders>
              <w:left w:val="nil"/>
              <w:right w:val="nil"/>
            </w:tcBorders>
            <w:shd w:val="clear" w:color="auto" w:fill="FFFFFF"/>
            <w:vAlign w:val="center"/>
          </w:tcPr>
          <w:p w14:paraId="5EEA937F"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0,485</w:t>
            </w:r>
          </w:p>
        </w:tc>
        <w:tc>
          <w:tcPr>
            <w:tcW w:w="1172" w:type="dxa"/>
            <w:tcBorders>
              <w:left w:val="nil"/>
              <w:right w:val="nil"/>
            </w:tcBorders>
            <w:shd w:val="clear" w:color="auto" w:fill="FFFFFF"/>
            <w:vAlign w:val="center"/>
          </w:tcPr>
          <w:p w14:paraId="682945E7"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0,107</w:t>
            </w:r>
          </w:p>
        </w:tc>
        <w:tc>
          <w:tcPr>
            <w:tcW w:w="1257" w:type="dxa"/>
            <w:tcBorders>
              <w:left w:val="nil"/>
              <w:right w:val="nil"/>
            </w:tcBorders>
            <w:shd w:val="clear" w:color="auto" w:fill="FFFFFF"/>
            <w:vAlign w:val="center"/>
          </w:tcPr>
          <w:p w14:paraId="126B95CC"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rPr>
              <w:t>5,764***</w:t>
            </w:r>
          </w:p>
        </w:tc>
        <w:tc>
          <w:tcPr>
            <w:tcW w:w="1948" w:type="dxa"/>
            <w:tcBorders>
              <w:left w:val="nil"/>
              <w:right w:val="nil"/>
            </w:tcBorders>
            <w:shd w:val="clear" w:color="auto" w:fill="FFFFFF"/>
            <w:vAlign w:val="center"/>
          </w:tcPr>
          <w:p w14:paraId="445E75A5"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0,235</w:t>
            </w:r>
          </w:p>
        </w:tc>
      </w:tr>
      <w:tr w:rsidR="00762A32" w:rsidRPr="006329C2" w14:paraId="7B87C3E4" w14:textId="77777777" w:rsidTr="00762A32">
        <w:tc>
          <w:tcPr>
            <w:tcW w:w="1469" w:type="dxa"/>
            <w:tcBorders>
              <w:left w:val="nil"/>
              <w:bottom w:val="nil"/>
              <w:right w:val="nil"/>
            </w:tcBorders>
            <w:shd w:val="clear" w:color="auto" w:fill="FFFFFF"/>
            <w:vAlign w:val="center"/>
          </w:tcPr>
          <w:p w14:paraId="4EBB4211" w14:textId="77777777" w:rsidR="00762A32" w:rsidRPr="006329C2" w:rsidRDefault="00762A32" w:rsidP="00F87EBB">
            <w:pPr>
              <w:jc w:val="cente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rPr>
              <w:t>1,000</w:t>
            </w:r>
          </w:p>
        </w:tc>
        <w:tc>
          <w:tcPr>
            <w:tcW w:w="1486" w:type="dxa"/>
            <w:tcBorders>
              <w:left w:val="nil"/>
              <w:bottom w:val="nil"/>
              <w:right w:val="nil"/>
            </w:tcBorders>
            <w:shd w:val="clear" w:color="auto" w:fill="FFFFFF"/>
            <w:vAlign w:val="center"/>
          </w:tcPr>
          <w:p w14:paraId="00E271DA"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0,812</w:t>
            </w:r>
          </w:p>
        </w:tc>
        <w:tc>
          <w:tcPr>
            <w:tcW w:w="1172" w:type="dxa"/>
            <w:tcBorders>
              <w:left w:val="nil"/>
              <w:bottom w:val="nil"/>
              <w:right w:val="nil"/>
            </w:tcBorders>
            <w:shd w:val="clear" w:color="auto" w:fill="FFFFFF"/>
            <w:vAlign w:val="center"/>
          </w:tcPr>
          <w:p w14:paraId="0A366C59"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_a</w:t>
            </w:r>
          </w:p>
        </w:tc>
        <w:tc>
          <w:tcPr>
            <w:tcW w:w="1257" w:type="dxa"/>
            <w:tcBorders>
              <w:left w:val="nil"/>
              <w:bottom w:val="nil"/>
              <w:right w:val="nil"/>
            </w:tcBorders>
            <w:shd w:val="clear" w:color="auto" w:fill="FFFFFF"/>
            <w:vAlign w:val="center"/>
          </w:tcPr>
          <w:p w14:paraId="64E755FE"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_a</w:t>
            </w:r>
          </w:p>
        </w:tc>
        <w:tc>
          <w:tcPr>
            <w:tcW w:w="1948" w:type="dxa"/>
            <w:tcBorders>
              <w:left w:val="nil"/>
              <w:bottom w:val="nil"/>
              <w:right w:val="nil"/>
            </w:tcBorders>
            <w:shd w:val="clear" w:color="auto" w:fill="FFFFFF"/>
            <w:vAlign w:val="center"/>
          </w:tcPr>
          <w:p w14:paraId="19DAD771"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0,659</w:t>
            </w:r>
          </w:p>
        </w:tc>
      </w:tr>
      <w:tr w:rsidR="00762A32" w:rsidRPr="006329C2" w14:paraId="787B3B92" w14:textId="77777777" w:rsidTr="00762A32">
        <w:tc>
          <w:tcPr>
            <w:tcW w:w="1469" w:type="dxa"/>
            <w:tcBorders>
              <w:top w:val="nil"/>
              <w:bottom w:val="nil"/>
            </w:tcBorders>
            <w:shd w:val="clear" w:color="auto" w:fill="FFFFFF"/>
            <w:vAlign w:val="center"/>
          </w:tcPr>
          <w:p w14:paraId="6E83E857"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rPr>
              <w:t>1,074</w:t>
            </w:r>
          </w:p>
        </w:tc>
        <w:tc>
          <w:tcPr>
            <w:tcW w:w="1486" w:type="dxa"/>
            <w:tcBorders>
              <w:top w:val="nil"/>
              <w:bottom w:val="nil"/>
            </w:tcBorders>
            <w:shd w:val="clear" w:color="auto" w:fill="FFFFFF"/>
            <w:vAlign w:val="center"/>
          </w:tcPr>
          <w:p w14:paraId="5575472B"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0,795</w:t>
            </w:r>
          </w:p>
        </w:tc>
        <w:tc>
          <w:tcPr>
            <w:tcW w:w="1172" w:type="dxa"/>
            <w:tcBorders>
              <w:top w:val="nil"/>
              <w:bottom w:val="nil"/>
            </w:tcBorders>
            <w:shd w:val="clear" w:color="auto" w:fill="FFFFFF"/>
            <w:vAlign w:val="center"/>
          </w:tcPr>
          <w:p w14:paraId="0F381650"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0,156</w:t>
            </w:r>
          </w:p>
        </w:tc>
        <w:tc>
          <w:tcPr>
            <w:tcW w:w="1257" w:type="dxa"/>
            <w:tcBorders>
              <w:top w:val="nil"/>
              <w:bottom w:val="nil"/>
            </w:tcBorders>
            <w:shd w:val="clear" w:color="auto" w:fill="FFFFFF"/>
            <w:vAlign w:val="center"/>
          </w:tcPr>
          <w:p w14:paraId="75BCBECB"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rPr>
              <w:t>6,871***</w:t>
            </w:r>
          </w:p>
        </w:tc>
        <w:tc>
          <w:tcPr>
            <w:tcW w:w="1948" w:type="dxa"/>
            <w:tcBorders>
              <w:top w:val="nil"/>
              <w:bottom w:val="nil"/>
            </w:tcBorders>
            <w:shd w:val="clear" w:color="auto" w:fill="FFFFFF"/>
            <w:vAlign w:val="center"/>
          </w:tcPr>
          <w:p w14:paraId="64F079BD"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0,632</w:t>
            </w:r>
          </w:p>
        </w:tc>
      </w:tr>
      <w:tr w:rsidR="00762A32" w:rsidRPr="006329C2" w14:paraId="54FD0814" w14:textId="77777777" w:rsidTr="00762A32">
        <w:tc>
          <w:tcPr>
            <w:tcW w:w="1469" w:type="dxa"/>
            <w:tcBorders>
              <w:top w:val="nil"/>
              <w:bottom w:val="single" w:sz="4" w:space="0" w:color="auto"/>
            </w:tcBorders>
            <w:shd w:val="clear" w:color="auto" w:fill="FFFFFF"/>
            <w:vAlign w:val="center"/>
          </w:tcPr>
          <w:p w14:paraId="7B03A967"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0,309</w:t>
            </w:r>
          </w:p>
        </w:tc>
        <w:tc>
          <w:tcPr>
            <w:tcW w:w="1486" w:type="dxa"/>
            <w:tcBorders>
              <w:top w:val="nil"/>
              <w:bottom w:val="single" w:sz="4" w:space="0" w:color="auto"/>
            </w:tcBorders>
            <w:shd w:val="clear" w:color="auto" w:fill="FFFFFF"/>
            <w:vAlign w:val="center"/>
          </w:tcPr>
          <w:p w14:paraId="5686C063"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0,284</w:t>
            </w:r>
          </w:p>
        </w:tc>
        <w:tc>
          <w:tcPr>
            <w:tcW w:w="1172" w:type="dxa"/>
            <w:tcBorders>
              <w:top w:val="nil"/>
              <w:bottom w:val="single" w:sz="4" w:space="0" w:color="auto"/>
            </w:tcBorders>
            <w:shd w:val="clear" w:color="auto" w:fill="FFFFFF"/>
            <w:vAlign w:val="center"/>
          </w:tcPr>
          <w:p w14:paraId="0A8F8C6E" w14:textId="77777777" w:rsidR="00762A32" w:rsidRPr="006329C2" w:rsidRDefault="00762A32" w:rsidP="00F87EBB">
            <w:pPr>
              <w:jc w:val="cente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lang w:val="en-US"/>
              </w:rPr>
              <w:t>0,079</w:t>
            </w:r>
          </w:p>
        </w:tc>
        <w:tc>
          <w:tcPr>
            <w:tcW w:w="1257" w:type="dxa"/>
            <w:tcBorders>
              <w:top w:val="nil"/>
              <w:bottom w:val="single" w:sz="4" w:space="0" w:color="auto"/>
            </w:tcBorders>
            <w:shd w:val="clear" w:color="auto" w:fill="FFFFFF"/>
            <w:vAlign w:val="center"/>
          </w:tcPr>
          <w:p w14:paraId="400B121B"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rPr>
              <w:t>3,896***</w:t>
            </w:r>
          </w:p>
        </w:tc>
        <w:tc>
          <w:tcPr>
            <w:tcW w:w="1948" w:type="dxa"/>
            <w:tcBorders>
              <w:top w:val="nil"/>
              <w:bottom w:val="single" w:sz="4" w:space="0" w:color="auto"/>
            </w:tcBorders>
            <w:shd w:val="clear" w:color="auto" w:fill="FFFFFF"/>
            <w:vAlign w:val="center"/>
          </w:tcPr>
          <w:p w14:paraId="03C26DDA" w14:textId="77777777" w:rsidR="00762A32" w:rsidRPr="006329C2" w:rsidRDefault="00762A32" w:rsidP="00F87EBB">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0,081</w:t>
            </w:r>
          </w:p>
        </w:tc>
      </w:tr>
    </w:tbl>
    <w:p w14:paraId="417C131E" w14:textId="77777777" w:rsidR="00762A32" w:rsidRDefault="00762A32" w:rsidP="00762A32">
      <w:pPr>
        <w:jc w:val="center"/>
        <w:rPr>
          <w:rFonts w:asciiTheme="minorHAnsi" w:eastAsia="Calibri" w:hAnsiTheme="minorHAnsi" w:cstheme="minorHAnsi"/>
          <w:b/>
          <w:bCs/>
          <w:sz w:val="22"/>
          <w:szCs w:val="22"/>
        </w:rPr>
      </w:pPr>
    </w:p>
    <w:p w14:paraId="5D90C304" w14:textId="39A9B544" w:rsidR="00762A32" w:rsidRPr="005D63A7" w:rsidRDefault="00762A32" w:rsidP="00762A32">
      <w:pPr>
        <w:jc w:val="center"/>
        <w:rPr>
          <w:rFonts w:asciiTheme="minorHAnsi" w:eastAsia="Calibri" w:hAnsiTheme="minorHAnsi" w:cstheme="minorHAnsi"/>
          <w:sz w:val="22"/>
          <w:szCs w:val="22"/>
        </w:rPr>
      </w:pPr>
      <w:r w:rsidRPr="005D63A7">
        <w:rPr>
          <w:rFonts w:asciiTheme="minorHAnsi" w:eastAsia="Calibri" w:hAnsiTheme="minorHAnsi" w:cstheme="minorHAnsi"/>
          <w:sz w:val="22"/>
          <w:szCs w:val="22"/>
        </w:rPr>
        <w:t>Πίνακας 2. Εκτίμηση παραμέτρων, τυπικά σφάλματα, κρίσιμες τιμές και τετραγωνισμένες παραγοντικές φορτίσεις για το προτεινόμενο μοντέλο (Μοντέλο1</w:t>
      </w:r>
      <w:r w:rsidRPr="005D63A7">
        <w:rPr>
          <w:rFonts w:asciiTheme="minorHAnsi" w:eastAsia="Calibri" w:hAnsiTheme="minorHAnsi" w:cstheme="minorHAnsi"/>
          <w:sz w:val="22"/>
          <w:szCs w:val="22"/>
          <w:vertAlign w:val="subscript"/>
        </w:rPr>
        <w:t>α</w:t>
      </w:r>
      <w:r w:rsidRPr="005D63A7">
        <w:rPr>
          <w:rFonts w:asciiTheme="minorHAnsi" w:eastAsia="Calibri" w:hAnsiTheme="minorHAnsi" w:cstheme="minorHAnsi"/>
          <w:sz w:val="22"/>
          <w:szCs w:val="22"/>
        </w:rPr>
        <w:t>).</w:t>
      </w:r>
    </w:p>
    <w:tbl>
      <w:tblPr>
        <w:tblpPr w:leftFromText="180" w:rightFromText="180" w:tblpXSpec="center" w:tblpY="870"/>
        <w:tblW w:w="11556" w:type="dxa"/>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2092"/>
        <w:gridCol w:w="2132"/>
        <w:gridCol w:w="1469"/>
        <w:gridCol w:w="1486"/>
        <w:gridCol w:w="1172"/>
        <w:gridCol w:w="1257"/>
        <w:gridCol w:w="1874"/>
        <w:gridCol w:w="74"/>
      </w:tblGrid>
      <w:tr w:rsidR="00762A32" w:rsidRPr="006329C2" w14:paraId="63727FE6" w14:textId="77777777" w:rsidTr="00621D78">
        <w:tc>
          <w:tcPr>
            <w:tcW w:w="2092" w:type="dxa"/>
            <w:tcBorders>
              <w:top w:val="single" w:sz="4" w:space="0" w:color="auto"/>
              <w:left w:val="nil"/>
              <w:bottom w:val="single" w:sz="2" w:space="0" w:color="000000"/>
              <w:right w:val="nil"/>
            </w:tcBorders>
            <w:shd w:val="clear" w:color="auto" w:fill="FFFFFF"/>
            <w:vAlign w:val="center"/>
          </w:tcPr>
          <w:p w14:paraId="76E8672D" w14:textId="77777777" w:rsidR="00762A32" w:rsidRPr="006329C2" w:rsidRDefault="00762A32" w:rsidP="00621D78">
            <w:pPr>
              <w:jc w:val="center"/>
              <w:rPr>
                <w:rFonts w:asciiTheme="minorHAnsi" w:eastAsia="Calibri" w:hAnsiTheme="minorHAnsi" w:cstheme="minorHAnsi"/>
                <w:bCs/>
                <w:color w:val="000000"/>
                <w:sz w:val="22"/>
                <w:szCs w:val="22"/>
              </w:rPr>
            </w:pPr>
            <w:r w:rsidRPr="006329C2">
              <w:rPr>
                <w:rFonts w:asciiTheme="minorHAnsi" w:eastAsia="Calibri" w:hAnsiTheme="minorHAnsi" w:cstheme="minorHAnsi"/>
                <w:bCs/>
                <w:color w:val="000000"/>
                <w:sz w:val="22"/>
                <w:szCs w:val="22"/>
              </w:rPr>
              <w:t>Λανθάνουσα μεταβλητή</w:t>
            </w:r>
          </w:p>
        </w:tc>
        <w:tc>
          <w:tcPr>
            <w:tcW w:w="2132" w:type="dxa"/>
            <w:tcBorders>
              <w:top w:val="single" w:sz="4" w:space="0" w:color="auto"/>
              <w:left w:val="nil"/>
              <w:bottom w:val="single" w:sz="2" w:space="0" w:color="000000"/>
              <w:right w:val="nil"/>
            </w:tcBorders>
            <w:shd w:val="clear" w:color="auto" w:fill="FFFFFF"/>
            <w:vAlign w:val="center"/>
          </w:tcPr>
          <w:p w14:paraId="4CCB32C4" w14:textId="77777777" w:rsidR="00762A32" w:rsidRPr="006329C2" w:rsidRDefault="00762A32" w:rsidP="00621D78">
            <w:pPr>
              <w:jc w:val="center"/>
              <w:rPr>
                <w:rFonts w:asciiTheme="minorHAnsi" w:eastAsia="Calibri" w:hAnsiTheme="minorHAnsi" w:cstheme="minorHAnsi"/>
                <w:bCs/>
                <w:color w:val="000000"/>
                <w:sz w:val="22"/>
                <w:szCs w:val="22"/>
              </w:rPr>
            </w:pPr>
            <w:r w:rsidRPr="006329C2">
              <w:rPr>
                <w:rFonts w:asciiTheme="minorHAnsi" w:eastAsia="Calibri" w:hAnsiTheme="minorHAnsi" w:cstheme="minorHAnsi"/>
                <w:bCs/>
                <w:color w:val="000000"/>
                <w:sz w:val="22"/>
                <w:szCs w:val="22"/>
              </w:rPr>
              <w:t>Δείκτες</w:t>
            </w:r>
          </w:p>
        </w:tc>
        <w:tc>
          <w:tcPr>
            <w:tcW w:w="1469" w:type="dxa"/>
            <w:tcBorders>
              <w:top w:val="single" w:sz="4" w:space="0" w:color="auto"/>
              <w:left w:val="nil"/>
              <w:bottom w:val="single" w:sz="2" w:space="0" w:color="000000"/>
              <w:right w:val="nil"/>
            </w:tcBorders>
            <w:shd w:val="clear" w:color="auto" w:fill="FFFFFF"/>
            <w:vAlign w:val="center"/>
          </w:tcPr>
          <w:p w14:paraId="2A676824" w14:textId="77777777" w:rsidR="00762A32" w:rsidRPr="006329C2" w:rsidRDefault="00762A32" w:rsidP="00621D78">
            <w:pPr>
              <w:jc w:val="center"/>
              <w:rPr>
                <w:rFonts w:asciiTheme="minorHAnsi" w:eastAsia="Calibri" w:hAnsiTheme="minorHAnsi" w:cstheme="minorHAnsi"/>
                <w:bCs/>
                <w:color w:val="000000"/>
                <w:sz w:val="22"/>
                <w:szCs w:val="22"/>
              </w:rPr>
            </w:pPr>
            <w:r w:rsidRPr="006329C2">
              <w:rPr>
                <w:rFonts w:asciiTheme="minorHAnsi" w:eastAsia="Calibri" w:hAnsiTheme="minorHAnsi" w:cstheme="minorHAnsi"/>
                <w:bCs/>
                <w:color w:val="000000"/>
                <w:sz w:val="22"/>
                <w:szCs w:val="22"/>
              </w:rPr>
              <w:t>Αστάθμητη</w:t>
            </w:r>
            <w:r w:rsidRPr="006329C2">
              <w:rPr>
                <w:rFonts w:asciiTheme="minorHAnsi" w:eastAsia="Calibri" w:hAnsiTheme="minorHAnsi" w:cstheme="minorHAnsi"/>
                <w:bCs/>
                <w:color w:val="000000"/>
                <w:sz w:val="22"/>
                <w:szCs w:val="22"/>
                <w:lang w:val="en-US"/>
              </w:rPr>
              <w:t xml:space="preserve"> </w:t>
            </w:r>
            <w:r w:rsidRPr="006329C2">
              <w:rPr>
                <w:rFonts w:asciiTheme="minorHAnsi" w:eastAsia="Calibri" w:hAnsiTheme="minorHAnsi" w:cstheme="minorHAnsi"/>
                <w:bCs/>
                <w:color w:val="000000"/>
                <w:sz w:val="22"/>
                <w:szCs w:val="22"/>
              </w:rPr>
              <w:t>παραγοντική</w:t>
            </w:r>
            <w:r w:rsidRPr="006329C2">
              <w:rPr>
                <w:rFonts w:asciiTheme="minorHAnsi" w:eastAsia="Calibri" w:hAnsiTheme="minorHAnsi" w:cstheme="minorHAnsi"/>
                <w:bCs/>
                <w:color w:val="000000"/>
                <w:sz w:val="22"/>
                <w:szCs w:val="22"/>
                <w:lang w:val="en-US"/>
              </w:rPr>
              <w:t xml:space="preserve"> </w:t>
            </w:r>
            <w:r w:rsidRPr="006329C2">
              <w:rPr>
                <w:rFonts w:asciiTheme="minorHAnsi" w:eastAsia="Calibri" w:hAnsiTheme="minorHAnsi" w:cstheme="minorHAnsi"/>
                <w:bCs/>
                <w:color w:val="000000"/>
                <w:sz w:val="22"/>
                <w:szCs w:val="22"/>
              </w:rPr>
              <w:t>φόρτιση</w:t>
            </w:r>
          </w:p>
        </w:tc>
        <w:tc>
          <w:tcPr>
            <w:tcW w:w="1486" w:type="dxa"/>
            <w:tcBorders>
              <w:top w:val="single" w:sz="4" w:space="0" w:color="auto"/>
              <w:left w:val="nil"/>
              <w:bottom w:val="single" w:sz="2" w:space="0" w:color="000000"/>
              <w:right w:val="nil"/>
            </w:tcBorders>
            <w:shd w:val="clear" w:color="auto" w:fill="FFFFFF"/>
            <w:vAlign w:val="center"/>
          </w:tcPr>
          <w:p w14:paraId="5C12E5DF" w14:textId="77777777" w:rsidR="00762A32" w:rsidRPr="006329C2" w:rsidRDefault="00762A32" w:rsidP="00621D78">
            <w:pPr>
              <w:jc w:val="center"/>
              <w:rPr>
                <w:rFonts w:asciiTheme="minorHAnsi" w:eastAsia="Calibri" w:hAnsiTheme="minorHAnsi" w:cstheme="minorHAnsi"/>
                <w:bCs/>
                <w:color w:val="000000"/>
                <w:sz w:val="22"/>
                <w:szCs w:val="22"/>
              </w:rPr>
            </w:pPr>
            <w:r w:rsidRPr="006329C2">
              <w:rPr>
                <w:rFonts w:asciiTheme="minorHAnsi" w:eastAsia="Calibri" w:hAnsiTheme="minorHAnsi" w:cstheme="minorHAnsi"/>
                <w:bCs/>
                <w:color w:val="000000"/>
                <w:sz w:val="22"/>
                <w:szCs w:val="22"/>
              </w:rPr>
              <w:t>Σταθμισμένη</w:t>
            </w:r>
            <w:r w:rsidRPr="006329C2">
              <w:rPr>
                <w:rFonts w:asciiTheme="minorHAnsi" w:eastAsia="Calibri" w:hAnsiTheme="minorHAnsi" w:cstheme="minorHAnsi"/>
                <w:bCs/>
                <w:color w:val="000000"/>
                <w:sz w:val="22"/>
                <w:szCs w:val="22"/>
                <w:lang w:val="en-US"/>
              </w:rPr>
              <w:t xml:space="preserve"> </w:t>
            </w:r>
            <w:r w:rsidRPr="006329C2">
              <w:rPr>
                <w:rFonts w:asciiTheme="minorHAnsi" w:eastAsia="Calibri" w:hAnsiTheme="minorHAnsi" w:cstheme="minorHAnsi"/>
                <w:bCs/>
                <w:color w:val="000000"/>
                <w:sz w:val="22"/>
                <w:szCs w:val="22"/>
              </w:rPr>
              <w:t>παραγοντική</w:t>
            </w:r>
            <w:r w:rsidRPr="006329C2">
              <w:rPr>
                <w:rFonts w:asciiTheme="minorHAnsi" w:eastAsia="Calibri" w:hAnsiTheme="minorHAnsi" w:cstheme="minorHAnsi"/>
                <w:bCs/>
                <w:color w:val="000000"/>
                <w:sz w:val="22"/>
                <w:szCs w:val="22"/>
                <w:lang w:val="en-US"/>
              </w:rPr>
              <w:t xml:space="preserve"> </w:t>
            </w:r>
            <w:r w:rsidRPr="006329C2">
              <w:rPr>
                <w:rFonts w:asciiTheme="minorHAnsi" w:eastAsia="Calibri" w:hAnsiTheme="minorHAnsi" w:cstheme="minorHAnsi"/>
                <w:bCs/>
                <w:color w:val="000000"/>
                <w:sz w:val="22"/>
                <w:szCs w:val="22"/>
              </w:rPr>
              <w:t>φόρτιση</w:t>
            </w:r>
          </w:p>
        </w:tc>
        <w:tc>
          <w:tcPr>
            <w:tcW w:w="1172" w:type="dxa"/>
            <w:tcBorders>
              <w:top w:val="single" w:sz="4" w:space="0" w:color="auto"/>
              <w:left w:val="nil"/>
              <w:bottom w:val="single" w:sz="2" w:space="0" w:color="000000"/>
              <w:right w:val="nil"/>
            </w:tcBorders>
            <w:shd w:val="clear" w:color="auto" w:fill="FFFFFF"/>
            <w:vAlign w:val="center"/>
          </w:tcPr>
          <w:p w14:paraId="5C099013" w14:textId="77777777" w:rsidR="00762A32" w:rsidRPr="006329C2" w:rsidRDefault="00762A32" w:rsidP="00621D78">
            <w:pPr>
              <w:jc w:val="center"/>
              <w:rPr>
                <w:rFonts w:asciiTheme="minorHAnsi" w:eastAsia="Calibri" w:hAnsiTheme="minorHAnsi" w:cstheme="minorHAnsi"/>
                <w:bCs/>
                <w:color w:val="000000"/>
                <w:sz w:val="22"/>
                <w:szCs w:val="22"/>
              </w:rPr>
            </w:pPr>
            <w:r w:rsidRPr="006329C2">
              <w:rPr>
                <w:rFonts w:asciiTheme="minorHAnsi" w:eastAsia="Calibri" w:hAnsiTheme="minorHAnsi" w:cstheme="minorHAnsi"/>
                <w:bCs/>
                <w:color w:val="000000"/>
                <w:sz w:val="22"/>
                <w:szCs w:val="22"/>
              </w:rPr>
              <w:t>Τυπικό σφάλμα</w:t>
            </w:r>
          </w:p>
        </w:tc>
        <w:tc>
          <w:tcPr>
            <w:tcW w:w="1257" w:type="dxa"/>
            <w:tcBorders>
              <w:top w:val="single" w:sz="4" w:space="0" w:color="auto"/>
              <w:left w:val="nil"/>
              <w:bottom w:val="single" w:sz="2" w:space="0" w:color="000000"/>
              <w:right w:val="nil"/>
            </w:tcBorders>
            <w:shd w:val="clear" w:color="auto" w:fill="FFFFFF"/>
            <w:vAlign w:val="center"/>
          </w:tcPr>
          <w:p w14:paraId="75E9109A" w14:textId="77777777" w:rsidR="00762A32" w:rsidRPr="006329C2" w:rsidRDefault="00762A32" w:rsidP="00621D78">
            <w:pPr>
              <w:jc w:val="center"/>
              <w:rPr>
                <w:rFonts w:asciiTheme="minorHAnsi" w:eastAsia="Calibri" w:hAnsiTheme="minorHAnsi" w:cstheme="minorHAnsi"/>
                <w:bCs/>
                <w:color w:val="000000"/>
                <w:sz w:val="22"/>
                <w:szCs w:val="22"/>
              </w:rPr>
            </w:pPr>
            <w:r w:rsidRPr="006329C2">
              <w:rPr>
                <w:rFonts w:asciiTheme="minorHAnsi" w:eastAsia="Calibri" w:hAnsiTheme="minorHAnsi" w:cstheme="minorHAnsi"/>
                <w:bCs/>
                <w:color w:val="000000"/>
                <w:sz w:val="22"/>
                <w:szCs w:val="22"/>
              </w:rPr>
              <w:t>Κρίσιμη Τιμή</w:t>
            </w:r>
            <w:r w:rsidRPr="006329C2">
              <w:rPr>
                <w:rFonts w:asciiTheme="minorHAnsi" w:eastAsia="Calibri" w:hAnsiTheme="minorHAnsi" w:cstheme="minorHAnsi"/>
                <w:bCs/>
                <w:color w:val="000000"/>
                <w:sz w:val="22"/>
                <w:szCs w:val="22"/>
                <w:vertAlign w:val="superscript"/>
                <w:lang w:val="en-US"/>
              </w:rPr>
              <w:t>b</w:t>
            </w:r>
          </w:p>
        </w:tc>
        <w:tc>
          <w:tcPr>
            <w:tcW w:w="1948" w:type="dxa"/>
            <w:gridSpan w:val="2"/>
            <w:tcBorders>
              <w:top w:val="single" w:sz="4" w:space="0" w:color="auto"/>
              <w:left w:val="nil"/>
              <w:bottom w:val="single" w:sz="2" w:space="0" w:color="000000"/>
              <w:right w:val="nil"/>
            </w:tcBorders>
            <w:shd w:val="clear" w:color="auto" w:fill="FFFFFF"/>
            <w:vAlign w:val="center"/>
          </w:tcPr>
          <w:p w14:paraId="092ECCC6" w14:textId="77777777" w:rsidR="00762A32" w:rsidRPr="006329C2" w:rsidRDefault="00762A32" w:rsidP="00621D78">
            <w:pPr>
              <w:jc w:val="center"/>
              <w:rPr>
                <w:rFonts w:asciiTheme="minorHAnsi" w:eastAsia="Calibri" w:hAnsiTheme="minorHAnsi" w:cstheme="minorHAnsi"/>
                <w:bCs/>
                <w:color w:val="000000"/>
                <w:sz w:val="22"/>
                <w:szCs w:val="22"/>
              </w:rPr>
            </w:pPr>
            <w:r w:rsidRPr="006329C2">
              <w:rPr>
                <w:rFonts w:asciiTheme="minorHAnsi" w:eastAsia="Calibri" w:hAnsiTheme="minorHAnsi" w:cstheme="minorHAnsi"/>
                <w:bCs/>
                <w:color w:val="000000"/>
                <w:sz w:val="22"/>
                <w:szCs w:val="22"/>
              </w:rPr>
              <w:t>Τετραγωνισμένη παραγοντική φόρτιση</w:t>
            </w:r>
          </w:p>
        </w:tc>
      </w:tr>
      <w:tr w:rsidR="00762A32" w:rsidRPr="006329C2" w14:paraId="4617FCB3" w14:textId="77777777" w:rsidTr="00621D78">
        <w:tc>
          <w:tcPr>
            <w:tcW w:w="2092" w:type="dxa"/>
            <w:tcBorders>
              <w:top w:val="single" w:sz="2" w:space="0" w:color="000000"/>
              <w:left w:val="nil"/>
              <w:right w:val="nil"/>
            </w:tcBorders>
            <w:shd w:val="clear" w:color="auto" w:fill="FFFFFF"/>
            <w:vAlign w:val="center"/>
          </w:tcPr>
          <w:p w14:paraId="3AA18EB2" w14:textId="77777777" w:rsidR="00762A32" w:rsidRPr="006329C2" w:rsidRDefault="00762A32" w:rsidP="00621D78">
            <w:pPr>
              <w:rPr>
                <w:rFonts w:asciiTheme="minorHAnsi" w:eastAsia="Calibri" w:hAnsiTheme="minorHAnsi" w:cstheme="minorHAnsi"/>
                <w:bCs/>
                <w:color w:val="000000"/>
                <w:sz w:val="22"/>
                <w:szCs w:val="22"/>
                <w:lang w:val="en-US"/>
              </w:rPr>
            </w:pPr>
            <w:r w:rsidRPr="006329C2">
              <w:rPr>
                <w:rFonts w:asciiTheme="minorHAnsi" w:eastAsia="Calibri" w:hAnsiTheme="minorHAnsi" w:cstheme="minorHAnsi"/>
                <w:bCs/>
                <w:color w:val="000000"/>
                <w:sz w:val="22"/>
                <w:szCs w:val="22"/>
                <w:lang w:val="en-US"/>
              </w:rPr>
              <w:t>Social interaction</w:t>
            </w:r>
          </w:p>
        </w:tc>
        <w:tc>
          <w:tcPr>
            <w:tcW w:w="2132" w:type="dxa"/>
            <w:tcBorders>
              <w:top w:val="single" w:sz="2" w:space="0" w:color="000000"/>
              <w:left w:val="nil"/>
              <w:right w:val="nil"/>
            </w:tcBorders>
            <w:shd w:val="clear" w:color="auto" w:fill="FFFFFF"/>
            <w:vAlign w:val="center"/>
          </w:tcPr>
          <w:p w14:paraId="62EC0AF8" w14:textId="77777777" w:rsidR="00762A32" w:rsidRPr="006329C2" w:rsidRDefault="00762A32" w:rsidP="00621D78">
            <w:pP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Social interaction</w:t>
            </w:r>
            <w:r w:rsidRPr="006329C2">
              <w:rPr>
                <w:rFonts w:asciiTheme="minorHAnsi" w:eastAsia="Calibri" w:hAnsiTheme="minorHAnsi" w:cstheme="minorHAnsi"/>
                <w:color w:val="000000"/>
                <w:sz w:val="22"/>
                <w:szCs w:val="22"/>
              </w:rPr>
              <w:t>1</w:t>
            </w:r>
          </w:p>
        </w:tc>
        <w:tc>
          <w:tcPr>
            <w:tcW w:w="1469" w:type="dxa"/>
            <w:tcBorders>
              <w:top w:val="single" w:sz="2" w:space="0" w:color="000000"/>
              <w:left w:val="nil"/>
              <w:right w:val="nil"/>
            </w:tcBorders>
            <w:shd w:val="clear" w:color="auto" w:fill="FFFFFF"/>
            <w:vAlign w:val="center"/>
          </w:tcPr>
          <w:p w14:paraId="146DB0CD" w14:textId="77777777" w:rsidR="00762A32" w:rsidRPr="006329C2" w:rsidRDefault="00762A32" w:rsidP="00621D78">
            <w:pPr>
              <w:jc w:val="cente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lang w:val="en-US"/>
              </w:rPr>
              <w:t>1,000</w:t>
            </w:r>
          </w:p>
        </w:tc>
        <w:tc>
          <w:tcPr>
            <w:tcW w:w="1486" w:type="dxa"/>
            <w:tcBorders>
              <w:top w:val="single" w:sz="2" w:space="0" w:color="000000"/>
              <w:left w:val="nil"/>
              <w:right w:val="nil"/>
            </w:tcBorders>
            <w:shd w:val="clear" w:color="auto" w:fill="FFFFFF"/>
            <w:vAlign w:val="center"/>
          </w:tcPr>
          <w:p w14:paraId="4F2460BE"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0,962</w:t>
            </w:r>
          </w:p>
        </w:tc>
        <w:tc>
          <w:tcPr>
            <w:tcW w:w="1172" w:type="dxa"/>
            <w:tcBorders>
              <w:top w:val="single" w:sz="2" w:space="0" w:color="000000"/>
              <w:left w:val="nil"/>
              <w:right w:val="nil"/>
            </w:tcBorders>
            <w:shd w:val="clear" w:color="auto" w:fill="FFFFFF"/>
            <w:vAlign w:val="center"/>
          </w:tcPr>
          <w:p w14:paraId="41A042AC" w14:textId="77777777" w:rsidR="00762A32" w:rsidRPr="006329C2" w:rsidRDefault="00762A32" w:rsidP="00621D78">
            <w:pPr>
              <w:jc w:val="cente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lang w:val="en-US"/>
              </w:rPr>
              <w:t>_a</w:t>
            </w:r>
          </w:p>
        </w:tc>
        <w:tc>
          <w:tcPr>
            <w:tcW w:w="1257" w:type="dxa"/>
            <w:tcBorders>
              <w:top w:val="single" w:sz="2" w:space="0" w:color="000000"/>
              <w:left w:val="nil"/>
              <w:right w:val="nil"/>
            </w:tcBorders>
            <w:shd w:val="clear" w:color="auto" w:fill="FFFFFF"/>
            <w:vAlign w:val="center"/>
          </w:tcPr>
          <w:p w14:paraId="3C2A9EAB"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_a</w:t>
            </w:r>
          </w:p>
        </w:tc>
        <w:tc>
          <w:tcPr>
            <w:tcW w:w="1948" w:type="dxa"/>
            <w:gridSpan w:val="2"/>
            <w:tcBorders>
              <w:top w:val="single" w:sz="2" w:space="0" w:color="000000"/>
              <w:left w:val="nil"/>
              <w:right w:val="nil"/>
            </w:tcBorders>
            <w:shd w:val="clear" w:color="auto" w:fill="FFFFFF"/>
            <w:vAlign w:val="center"/>
          </w:tcPr>
          <w:p w14:paraId="4A15EC53"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0,925</w:t>
            </w:r>
          </w:p>
        </w:tc>
      </w:tr>
      <w:tr w:rsidR="00762A32" w:rsidRPr="006329C2" w14:paraId="52838A3C" w14:textId="77777777" w:rsidTr="00621D78">
        <w:tc>
          <w:tcPr>
            <w:tcW w:w="2092" w:type="dxa"/>
            <w:shd w:val="clear" w:color="auto" w:fill="FFFFFF"/>
            <w:vAlign w:val="center"/>
          </w:tcPr>
          <w:p w14:paraId="214642FC" w14:textId="77777777" w:rsidR="00762A32" w:rsidRPr="006329C2" w:rsidRDefault="00762A32" w:rsidP="00621D78">
            <w:pPr>
              <w:rPr>
                <w:rFonts w:asciiTheme="minorHAnsi" w:eastAsia="Calibri" w:hAnsiTheme="minorHAnsi" w:cstheme="minorHAnsi"/>
                <w:bCs/>
                <w:color w:val="000000"/>
                <w:sz w:val="22"/>
                <w:szCs w:val="22"/>
                <w:lang w:val="en-US"/>
              </w:rPr>
            </w:pPr>
          </w:p>
        </w:tc>
        <w:tc>
          <w:tcPr>
            <w:tcW w:w="2132" w:type="dxa"/>
            <w:shd w:val="clear" w:color="auto" w:fill="FFFFFF"/>
            <w:vAlign w:val="center"/>
          </w:tcPr>
          <w:p w14:paraId="1F847CDD" w14:textId="77777777" w:rsidR="00762A32" w:rsidRPr="006329C2" w:rsidRDefault="00762A32" w:rsidP="00621D78">
            <w:pP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Social interaction</w:t>
            </w:r>
            <w:r w:rsidRPr="006329C2">
              <w:rPr>
                <w:rFonts w:asciiTheme="minorHAnsi" w:eastAsia="Calibri" w:hAnsiTheme="minorHAnsi" w:cstheme="minorHAnsi"/>
                <w:color w:val="000000"/>
                <w:sz w:val="22"/>
                <w:szCs w:val="22"/>
              </w:rPr>
              <w:t>2</w:t>
            </w:r>
          </w:p>
        </w:tc>
        <w:tc>
          <w:tcPr>
            <w:tcW w:w="1469" w:type="dxa"/>
            <w:shd w:val="clear" w:color="auto" w:fill="FFFFFF"/>
            <w:vAlign w:val="center"/>
          </w:tcPr>
          <w:p w14:paraId="38B6F06B"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0,984</w:t>
            </w:r>
          </w:p>
        </w:tc>
        <w:tc>
          <w:tcPr>
            <w:tcW w:w="1486" w:type="dxa"/>
            <w:shd w:val="clear" w:color="auto" w:fill="FFFFFF"/>
            <w:vAlign w:val="center"/>
          </w:tcPr>
          <w:p w14:paraId="5D32134F"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0,976</w:t>
            </w:r>
          </w:p>
        </w:tc>
        <w:tc>
          <w:tcPr>
            <w:tcW w:w="1172" w:type="dxa"/>
            <w:shd w:val="clear" w:color="auto" w:fill="FFFFFF"/>
            <w:vAlign w:val="center"/>
          </w:tcPr>
          <w:p w14:paraId="651BA0C1"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0,024</w:t>
            </w:r>
          </w:p>
        </w:tc>
        <w:tc>
          <w:tcPr>
            <w:tcW w:w="1257" w:type="dxa"/>
            <w:shd w:val="clear" w:color="auto" w:fill="FFFFFF"/>
            <w:vAlign w:val="center"/>
          </w:tcPr>
          <w:p w14:paraId="6FF2EAE5"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rPr>
              <w:t>40,781***</w:t>
            </w:r>
          </w:p>
        </w:tc>
        <w:tc>
          <w:tcPr>
            <w:tcW w:w="1948" w:type="dxa"/>
            <w:gridSpan w:val="2"/>
            <w:shd w:val="clear" w:color="auto" w:fill="FFFFFF"/>
            <w:vAlign w:val="center"/>
          </w:tcPr>
          <w:p w14:paraId="552A4AC7"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0,953</w:t>
            </w:r>
          </w:p>
        </w:tc>
      </w:tr>
      <w:tr w:rsidR="00762A32" w:rsidRPr="006329C2" w14:paraId="67A72A51" w14:textId="77777777" w:rsidTr="00621D78">
        <w:tc>
          <w:tcPr>
            <w:tcW w:w="2092" w:type="dxa"/>
            <w:tcBorders>
              <w:left w:val="nil"/>
              <w:right w:val="nil"/>
            </w:tcBorders>
            <w:shd w:val="clear" w:color="auto" w:fill="FFFFFF"/>
            <w:vAlign w:val="center"/>
          </w:tcPr>
          <w:p w14:paraId="1B5B06C0" w14:textId="77777777" w:rsidR="00762A32" w:rsidRPr="006329C2" w:rsidRDefault="00762A32" w:rsidP="00621D78">
            <w:pPr>
              <w:rPr>
                <w:rFonts w:asciiTheme="minorHAnsi" w:eastAsia="Calibri" w:hAnsiTheme="minorHAnsi" w:cstheme="minorHAnsi"/>
                <w:bCs/>
                <w:color w:val="000000"/>
                <w:sz w:val="22"/>
                <w:szCs w:val="22"/>
                <w:lang w:val="en-US"/>
              </w:rPr>
            </w:pPr>
          </w:p>
        </w:tc>
        <w:tc>
          <w:tcPr>
            <w:tcW w:w="2132" w:type="dxa"/>
            <w:tcBorders>
              <w:left w:val="nil"/>
              <w:right w:val="nil"/>
            </w:tcBorders>
            <w:shd w:val="clear" w:color="auto" w:fill="FFFFFF"/>
            <w:vAlign w:val="center"/>
          </w:tcPr>
          <w:p w14:paraId="0E1EBD42" w14:textId="77777777" w:rsidR="00762A32" w:rsidRPr="006329C2" w:rsidRDefault="00762A32" w:rsidP="00621D78">
            <w:pP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Social interaction</w:t>
            </w:r>
            <w:r w:rsidRPr="006329C2">
              <w:rPr>
                <w:rFonts w:asciiTheme="minorHAnsi" w:eastAsia="Calibri" w:hAnsiTheme="minorHAnsi" w:cstheme="minorHAnsi"/>
                <w:color w:val="000000"/>
                <w:sz w:val="22"/>
                <w:szCs w:val="22"/>
              </w:rPr>
              <w:t>3</w:t>
            </w:r>
          </w:p>
        </w:tc>
        <w:tc>
          <w:tcPr>
            <w:tcW w:w="1469" w:type="dxa"/>
            <w:tcBorders>
              <w:left w:val="nil"/>
              <w:right w:val="nil"/>
            </w:tcBorders>
            <w:shd w:val="clear" w:color="auto" w:fill="FFFFFF"/>
            <w:vAlign w:val="center"/>
          </w:tcPr>
          <w:p w14:paraId="4C4F47B8"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w:t>
            </w:r>
            <w:r w:rsidRPr="006329C2">
              <w:rPr>
                <w:rFonts w:asciiTheme="minorHAnsi" w:eastAsia="Calibri" w:hAnsiTheme="minorHAnsi" w:cstheme="minorHAnsi"/>
                <w:color w:val="000000"/>
                <w:sz w:val="22"/>
                <w:szCs w:val="22"/>
              </w:rPr>
              <w:t>,877</w:t>
            </w:r>
          </w:p>
        </w:tc>
        <w:tc>
          <w:tcPr>
            <w:tcW w:w="1486" w:type="dxa"/>
            <w:tcBorders>
              <w:left w:val="nil"/>
              <w:right w:val="nil"/>
            </w:tcBorders>
            <w:shd w:val="clear" w:color="auto" w:fill="FFFFFF"/>
            <w:vAlign w:val="center"/>
          </w:tcPr>
          <w:p w14:paraId="187F4745"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0,839</w:t>
            </w:r>
          </w:p>
        </w:tc>
        <w:tc>
          <w:tcPr>
            <w:tcW w:w="1172" w:type="dxa"/>
            <w:tcBorders>
              <w:left w:val="nil"/>
              <w:right w:val="nil"/>
            </w:tcBorders>
            <w:shd w:val="clear" w:color="auto" w:fill="FFFFFF"/>
            <w:vAlign w:val="center"/>
          </w:tcPr>
          <w:p w14:paraId="65DDEB58"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0,041</w:t>
            </w:r>
          </w:p>
        </w:tc>
        <w:tc>
          <w:tcPr>
            <w:tcW w:w="1257" w:type="dxa"/>
            <w:tcBorders>
              <w:left w:val="nil"/>
              <w:right w:val="nil"/>
            </w:tcBorders>
            <w:shd w:val="clear" w:color="auto" w:fill="FFFFFF"/>
            <w:vAlign w:val="center"/>
          </w:tcPr>
          <w:p w14:paraId="0D9A818A" w14:textId="77777777" w:rsidR="00762A32" w:rsidRPr="006329C2" w:rsidRDefault="00762A32" w:rsidP="00621D78">
            <w:pPr>
              <w:jc w:val="cente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rPr>
              <w:t>21,576***</w:t>
            </w:r>
          </w:p>
        </w:tc>
        <w:tc>
          <w:tcPr>
            <w:tcW w:w="1948" w:type="dxa"/>
            <w:gridSpan w:val="2"/>
            <w:tcBorders>
              <w:left w:val="nil"/>
              <w:right w:val="nil"/>
            </w:tcBorders>
            <w:shd w:val="clear" w:color="auto" w:fill="FFFFFF"/>
            <w:vAlign w:val="center"/>
          </w:tcPr>
          <w:p w14:paraId="7B683431"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0,704</w:t>
            </w:r>
          </w:p>
        </w:tc>
      </w:tr>
      <w:tr w:rsidR="00762A32" w:rsidRPr="006329C2" w14:paraId="09A2ED82" w14:textId="77777777" w:rsidTr="00621D78">
        <w:tc>
          <w:tcPr>
            <w:tcW w:w="2092" w:type="dxa"/>
            <w:shd w:val="clear" w:color="auto" w:fill="FFFFFF"/>
            <w:vAlign w:val="center"/>
          </w:tcPr>
          <w:p w14:paraId="130F62A2" w14:textId="77777777" w:rsidR="00762A32" w:rsidRPr="006329C2" w:rsidRDefault="00762A32" w:rsidP="00621D78">
            <w:pPr>
              <w:rPr>
                <w:rFonts w:asciiTheme="minorHAnsi" w:eastAsia="Calibri" w:hAnsiTheme="minorHAnsi" w:cstheme="minorHAnsi"/>
                <w:bCs/>
                <w:color w:val="000000"/>
                <w:sz w:val="22"/>
                <w:szCs w:val="22"/>
                <w:lang w:val="en-US"/>
              </w:rPr>
            </w:pPr>
          </w:p>
        </w:tc>
        <w:tc>
          <w:tcPr>
            <w:tcW w:w="2132" w:type="dxa"/>
            <w:shd w:val="clear" w:color="auto" w:fill="FFFFFF"/>
            <w:vAlign w:val="center"/>
          </w:tcPr>
          <w:p w14:paraId="5047A855" w14:textId="77777777" w:rsidR="00762A32" w:rsidRPr="006329C2" w:rsidRDefault="00762A32" w:rsidP="00621D78">
            <w:pP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Social interaction</w:t>
            </w:r>
            <w:r w:rsidRPr="006329C2">
              <w:rPr>
                <w:rFonts w:asciiTheme="minorHAnsi" w:eastAsia="Calibri" w:hAnsiTheme="minorHAnsi" w:cstheme="minorHAnsi"/>
                <w:color w:val="000000"/>
                <w:sz w:val="22"/>
                <w:szCs w:val="22"/>
              </w:rPr>
              <w:t>4</w:t>
            </w:r>
          </w:p>
        </w:tc>
        <w:tc>
          <w:tcPr>
            <w:tcW w:w="1469" w:type="dxa"/>
            <w:shd w:val="clear" w:color="auto" w:fill="FFFFFF"/>
            <w:vAlign w:val="center"/>
          </w:tcPr>
          <w:p w14:paraId="6811A9A8"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w:t>
            </w:r>
            <w:r w:rsidRPr="006329C2">
              <w:rPr>
                <w:rFonts w:asciiTheme="minorHAnsi" w:eastAsia="Calibri" w:hAnsiTheme="minorHAnsi" w:cstheme="minorHAnsi"/>
                <w:color w:val="000000"/>
                <w:sz w:val="22"/>
                <w:szCs w:val="22"/>
              </w:rPr>
              <w:t>,987</w:t>
            </w:r>
          </w:p>
        </w:tc>
        <w:tc>
          <w:tcPr>
            <w:tcW w:w="1486" w:type="dxa"/>
            <w:shd w:val="clear" w:color="auto" w:fill="FFFFFF"/>
            <w:vAlign w:val="center"/>
          </w:tcPr>
          <w:p w14:paraId="08A677A3"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w:t>
            </w:r>
            <w:r w:rsidRPr="006329C2">
              <w:rPr>
                <w:rFonts w:asciiTheme="minorHAnsi" w:eastAsia="Calibri" w:hAnsiTheme="minorHAnsi" w:cstheme="minorHAnsi"/>
                <w:color w:val="000000"/>
                <w:sz w:val="22"/>
                <w:szCs w:val="22"/>
              </w:rPr>
              <w:t>,897</w:t>
            </w:r>
          </w:p>
        </w:tc>
        <w:tc>
          <w:tcPr>
            <w:tcW w:w="1172" w:type="dxa"/>
            <w:shd w:val="clear" w:color="auto" w:fill="FFFFFF"/>
            <w:vAlign w:val="center"/>
          </w:tcPr>
          <w:p w14:paraId="75486760"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w:t>
            </w:r>
            <w:r w:rsidRPr="006329C2">
              <w:rPr>
                <w:rFonts w:asciiTheme="minorHAnsi" w:eastAsia="Calibri" w:hAnsiTheme="minorHAnsi" w:cstheme="minorHAnsi"/>
                <w:color w:val="000000"/>
                <w:sz w:val="22"/>
                <w:szCs w:val="22"/>
              </w:rPr>
              <w:t>,037</w:t>
            </w:r>
          </w:p>
        </w:tc>
        <w:tc>
          <w:tcPr>
            <w:tcW w:w="1257" w:type="dxa"/>
            <w:shd w:val="clear" w:color="auto" w:fill="FFFFFF"/>
            <w:vAlign w:val="center"/>
          </w:tcPr>
          <w:p w14:paraId="75B2D2CB"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rPr>
              <w:t>26,756***</w:t>
            </w:r>
          </w:p>
        </w:tc>
        <w:tc>
          <w:tcPr>
            <w:tcW w:w="1948" w:type="dxa"/>
            <w:gridSpan w:val="2"/>
            <w:shd w:val="clear" w:color="auto" w:fill="FFFFFF"/>
            <w:vAlign w:val="center"/>
          </w:tcPr>
          <w:p w14:paraId="684DBEF0"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w:t>
            </w:r>
            <w:r w:rsidRPr="006329C2">
              <w:rPr>
                <w:rFonts w:asciiTheme="minorHAnsi" w:eastAsia="Calibri" w:hAnsiTheme="minorHAnsi" w:cstheme="minorHAnsi"/>
                <w:color w:val="000000"/>
                <w:sz w:val="22"/>
                <w:szCs w:val="22"/>
              </w:rPr>
              <w:t>,805</w:t>
            </w:r>
          </w:p>
        </w:tc>
      </w:tr>
      <w:tr w:rsidR="00762A32" w:rsidRPr="006329C2" w14:paraId="0A2E332E" w14:textId="77777777" w:rsidTr="00621D78">
        <w:tc>
          <w:tcPr>
            <w:tcW w:w="2092" w:type="dxa"/>
            <w:tcBorders>
              <w:left w:val="nil"/>
              <w:right w:val="nil"/>
            </w:tcBorders>
            <w:shd w:val="clear" w:color="auto" w:fill="FFFFFF"/>
            <w:vAlign w:val="center"/>
          </w:tcPr>
          <w:p w14:paraId="4A7E526B" w14:textId="77777777" w:rsidR="00762A32" w:rsidRPr="006329C2" w:rsidRDefault="00762A32" w:rsidP="00621D78">
            <w:pPr>
              <w:rPr>
                <w:rFonts w:asciiTheme="minorHAnsi" w:eastAsia="Calibri" w:hAnsiTheme="minorHAnsi" w:cstheme="minorHAnsi"/>
                <w:bCs/>
                <w:color w:val="000000"/>
                <w:sz w:val="22"/>
                <w:szCs w:val="22"/>
                <w:lang w:val="en-US"/>
              </w:rPr>
            </w:pPr>
          </w:p>
        </w:tc>
        <w:tc>
          <w:tcPr>
            <w:tcW w:w="2132" w:type="dxa"/>
            <w:tcBorders>
              <w:left w:val="nil"/>
              <w:right w:val="nil"/>
            </w:tcBorders>
            <w:shd w:val="clear" w:color="auto" w:fill="FFFFFF"/>
            <w:vAlign w:val="center"/>
          </w:tcPr>
          <w:p w14:paraId="6B2CA391" w14:textId="77777777" w:rsidR="00762A32" w:rsidRPr="006329C2" w:rsidRDefault="00762A32" w:rsidP="00621D78">
            <w:pP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Social interaction</w:t>
            </w:r>
            <w:r w:rsidRPr="006329C2">
              <w:rPr>
                <w:rFonts w:asciiTheme="minorHAnsi" w:eastAsia="Calibri" w:hAnsiTheme="minorHAnsi" w:cstheme="minorHAnsi"/>
                <w:color w:val="000000"/>
                <w:sz w:val="22"/>
                <w:szCs w:val="22"/>
              </w:rPr>
              <w:t>5</w:t>
            </w:r>
          </w:p>
        </w:tc>
        <w:tc>
          <w:tcPr>
            <w:tcW w:w="1469" w:type="dxa"/>
            <w:tcBorders>
              <w:left w:val="nil"/>
              <w:right w:val="nil"/>
            </w:tcBorders>
            <w:shd w:val="clear" w:color="auto" w:fill="FFFFFF"/>
            <w:vAlign w:val="center"/>
          </w:tcPr>
          <w:p w14:paraId="2A8BE392"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w:t>
            </w:r>
            <w:r w:rsidRPr="006329C2">
              <w:rPr>
                <w:rFonts w:asciiTheme="minorHAnsi" w:eastAsia="Calibri" w:hAnsiTheme="minorHAnsi" w:cstheme="minorHAnsi"/>
                <w:color w:val="000000"/>
                <w:sz w:val="22"/>
                <w:szCs w:val="22"/>
              </w:rPr>
              <w:t>,874</w:t>
            </w:r>
          </w:p>
        </w:tc>
        <w:tc>
          <w:tcPr>
            <w:tcW w:w="1486" w:type="dxa"/>
            <w:tcBorders>
              <w:left w:val="nil"/>
              <w:right w:val="nil"/>
            </w:tcBorders>
            <w:shd w:val="clear" w:color="auto" w:fill="FFFFFF"/>
            <w:vAlign w:val="center"/>
          </w:tcPr>
          <w:p w14:paraId="53A60F1C"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w:t>
            </w:r>
            <w:r w:rsidRPr="006329C2">
              <w:rPr>
                <w:rFonts w:asciiTheme="minorHAnsi" w:eastAsia="Calibri" w:hAnsiTheme="minorHAnsi" w:cstheme="minorHAnsi"/>
                <w:color w:val="000000"/>
                <w:sz w:val="22"/>
                <w:szCs w:val="22"/>
              </w:rPr>
              <w:t>,712</w:t>
            </w:r>
          </w:p>
        </w:tc>
        <w:tc>
          <w:tcPr>
            <w:tcW w:w="1172" w:type="dxa"/>
            <w:tcBorders>
              <w:left w:val="nil"/>
              <w:right w:val="nil"/>
            </w:tcBorders>
            <w:shd w:val="clear" w:color="auto" w:fill="FFFFFF"/>
            <w:vAlign w:val="center"/>
          </w:tcPr>
          <w:p w14:paraId="249E926B"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0,059</w:t>
            </w:r>
          </w:p>
        </w:tc>
        <w:tc>
          <w:tcPr>
            <w:tcW w:w="1257" w:type="dxa"/>
            <w:tcBorders>
              <w:left w:val="nil"/>
              <w:right w:val="nil"/>
            </w:tcBorders>
            <w:shd w:val="clear" w:color="auto" w:fill="FFFFFF"/>
            <w:vAlign w:val="center"/>
          </w:tcPr>
          <w:p w14:paraId="7263E643"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rPr>
              <w:t>14,928***</w:t>
            </w:r>
          </w:p>
        </w:tc>
        <w:tc>
          <w:tcPr>
            <w:tcW w:w="1948" w:type="dxa"/>
            <w:gridSpan w:val="2"/>
            <w:tcBorders>
              <w:left w:val="nil"/>
              <w:right w:val="nil"/>
            </w:tcBorders>
            <w:shd w:val="clear" w:color="auto" w:fill="FFFFFF"/>
            <w:vAlign w:val="center"/>
          </w:tcPr>
          <w:p w14:paraId="7D859EE8"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0,507</w:t>
            </w:r>
          </w:p>
        </w:tc>
      </w:tr>
      <w:tr w:rsidR="00762A32" w:rsidRPr="006329C2" w14:paraId="6DD0C13F" w14:textId="77777777" w:rsidTr="00621D78">
        <w:tc>
          <w:tcPr>
            <w:tcW w:w="2092" w:type="dxa"/>
            <w:tcBorders>
              <w:left w:val="nil"/>
              <w:right w:val="nil"/>
            </w:tcBorders>
            <w:shd w:val="clear" w:color="auto" w:fill="FFFFFF"/>
            <w:vAlign w:val="center"/>
          </w:tcPr>
          <w:p w14:paraId="296E19CB" w14:textId="77777777" w:rsidR="00762A32" w:rsidRPr="006329C2" w:rsidRDefault="00762A32" w:rsidP="00621D78">
            <w:pPr>
              <w:rPr>
                <w:rFonts w:asciiTheme="minorHAnsi" w:eastAsia="Calibri" w:hAnsiTheme="minorHAnsi" w:cstheme="minorHAnsi"/>
                <w:bCs/>
                <w:color w:val="000000"/>
                <w:sz w:val="22"/>
                <w:szCs w:val="22"/>
                <w:lang w:val="en-US"/>
              </w:rPr>
            </w:pPr>
          </w:p>
        </w:tc>
        <w:tc>
          <w:tcPr>
            <w:tcW w:w="2132" w:type="dxa"/>
            <w:tcBorders>
              <w:left w:val="nil"/>
              <w:right w:val="nil"/>
            </w:tcBorders>
            <w:shd w:val="clear" w:color="auto" w:fill="FFFFFF"/>
            <w:vAlign w:val="center"/>
          </w:tcPr>
          <w:p w14:paraId="7FE04F6B" w14:textId="77777777" w:rsidR="00762A32" w:rsidRPr="006329C2" w:rsidRDefault="00762A32" w:rsidP="00621D78">
            <w:pP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Social interaction</w:t>
            </w:r>
            <w:r w:rsidRPr="006329C2">
              <w:rPr>
                <w:rFonts w:asciiTheme="minorHAnsi" w:eastAsia="Calibri" w:hAnsiTheme="minorHAnsi" w:cstheme="minorHAnsi"/>
                <w:color w:val="000000"/>
                <w:sz w:val="22"/>
                <w:szCs w:val="22"/>
              </w:rPr>
              <w:t>6</w:t>
            </w:r>
          </w:p>
        </w:tc>
        <w:tc>
          <w:tcPr>
            <w:tcW w:w="1469" w:type="dxa"/>
            <w:tcBorders>
              <w:left w:val="nil"/>
              <w:right w:val="nil"/>
            </w:tcBorders>
            <w:shd w:val="clear" w:color="auto" w:fill="FFFFFF"/>
            <w:vAlign w:val="center"/>
          </w:tcPr>
          <w:p w14:paraId="5B53B16F"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w:t>
            </w:r>
            <w:r w:rsidRPr="006329C2">
              <w:rPr>
                <w:rFonts w:asciiTheme="minorHAnsi" w:eastAsia="Calibri" w:hAnsiTheme="minorHAnsi" w:cstheme="minorHAnsi"/>
                <w:color w:val="000000"/>
                <w:sz w:val="22"/>
                <w:szCs w:val="22"/>
              </w:rPr>
              <w:t>,832</w:t>
            </w:r>
          </w:p>
        </w:tc>
        <w:tc>
          <w:tcPr>
            <w:tcW w:w="1486" w:type="dxa"/>
            <w:tcBorders>
              <w:left w:val="nil"/>
              <w:right w:val="nil"/>
            </w:tcBorders>
            <w:shd w:val="clear" w:color="auto" w:fill="FFFFFF"/>
            <w:vAlign w:val="center"/>
          </w:tcPr>
          <w:p w14:paraId="34CAC904"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w:t>
            </w:r>
            <w:r w:rsidRPr="006329C2">
              <w:rPr>
                <w:rFonts w:asciiTheme="minorHAnsi" w:eastAsia="Calibri" w:hAnsiTheme="minorHAnsi" w:cstheme="minorHAnsi"/>
                <w:color w:val="000000"/>
                <w:sz w:val="22"/>
                <w:szCs w:val="22"/>
              </w:rPr>
              <w:t>,720</w:t>
            </w:r>
          </w:p>
        </w:tc>
        <w:tc>
          <w:tcPr>
            <w:tcW w:w="1172" w:type="dxa"/>
            <w:tcBorders>
              <w:left w:val="nil"/>
              <w:right w:val="nil"/>
            </w:tcBorders>
            <w:shd w:val="clear" w:color="auto" w:fill="FFFFFF"/>
            <w:vAlign w:val="center"/>
          </w:tcPr>
          <w:p w14:paraId="628E6230" w14:textId="77777777" w:rsidR="00762A32" w:rsidRPr="006329C2" w:rsidRDefault="00762A32" w:rsidP="00621D78">
            <w:pPr>
              <w:jc w:val="cente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lang w:val="en-US"/>
              </w:rPr>
              <w:t>0,055</w:t>
            </w:r>
          </w:p>
        </w:tc>
        <w:tc>
          <w:tcPr>
            <w:tcW w:w="1257" w:type="dxa"/>
            <w:tcBorders>
              <w:left w:val="nil"/>
              <w:right w:val="nil"/>
            </w:tcBorders>
            <w:shd w:val="clear" w:color="auto" w:fill="FFFFFF"/>
            <w:vAlign w:val="center"/>
          </w:tcPr>
          <w:p w14:paraId="0B59AD13"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rPr>
              <w:t>15,226***</w:t>
            </w:r>
          </w:p>
        </w:tc>
        <w:tc>
          <w:tcPr>
            <w:tcW w:w="1948" w:type="dxa"/>
            <w:gridSpan w:val="2"/>
            <w:tcBorders>
              <w:left w:val="nil"/>
              <w:right w:val="nil"/>
            </w:tcBorders>
            <w:shd w:val="clear" w:color="auto" w:fill="FFFFFF"/>
            <w:vAlign w:val="center"/>
          </w:tcPr>
          <w:p w14:paraId="0A515905" w14:textId="77777777" w:rsidR="00762A32" w:rsidRPr="006329C2" w:rsidRDefault="00762A32" w:rsidP="00621D78">
            <w:pPr>
              <w:jc w:val="cente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lang w:val="en-US"/>
              </w:rPr>
              <w:t>0,519</w:t>
            </w:r>
          </w:p>
        </w:tc>
      </w:tr>
      <w:tr w:rsidR="00762A32" w:rsidRPr="006329C2" w14:paraId="3B4D85E9" w14:textId="77777777" w:rsidTr="00621D78">
        <w:tc>
          <w:tcPr>
            <w:tcW w:w="2092" w:type="dxa"/>
            <w:tcBorders>
              <w:left w:val="nil"/>
              <w:right w:val="nil"/>
            </w:tcBorders>
            <w:shd w:val="clear" w:color="auto" w:fill="FFFFFF"/>
            <w:vAlign w:val="center"/>
          </w:tcPr>
          <w:p w14:paraId="7C928312" w14:textId="77777777" w:rsidR="00762A32" w:rsidRPr="006329C2" w:rsidRDefault="00762A32" w:rsidP="00621D78">
            <w:pPr>
              <w:rPr>
                <w:rFonts w:asciiTheme="minorHAnsi" w:eastAsia="Calibri" w:hAnsiTheme="minorHAnsi" w:cstheme="minorHAnsi"/>
                <w:bCs/>
                <w:color w:val="000000"/>
                <w:sz w:val="22"/>
                <w:szCs w:val="22"/>
                <w:lang w:val="en-US"/>
              </w:rPr>
            </w:pPr>
          </w:p>
        </w:tc>
        <w:tc>
          <w:tcPr>
            <w:tcW w:w="2132" w:type="dxa"/>
            <w:tcBorders>
              <w:left w:val="nil"/>
              <w:right w:val="nil"/>
            </w:tcBorders>
            <w:shd w:val="clear" w:color="auto" w:fill="FFFFFF"/>
            <w:vAlign w:val="center"/>
          </w:tcPr>
          <w:p w14:paraId="1BBB4D0A" w14:textId="77777777" w:rsidR="00762A32" w:rsidRPr="006329C2" w:rsidRDefault="00762A32" w:rsidP="00621D78">
            <w:pP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Social interaction</w:t>
            </w:r>
            <w:r w:rsidRPr="006329C2">
              <w:rPr>
                <w:rFonts w:asciiTheme="minorHAnsi" w:eastAsia="Calibri" w:hAnsiTheme="minorHAnsi" w:cstheme="minorHAnsi"/>
                <w:color w:val="000000"/>
                <w:sz w:val="22"/>
                <w:szCs w:val="22"/>
              </w:rPr>
              <w:t>7</w:t>
            </w:r>
          </w:p>
        </w:tc>
        <w:tc>
          <w:tcPr>
            <w:tcW w:w="1469" w:type="dxa"/>
            <w:tcBorders>
              <w:left w:val="nil"/>
              <w:right w:val="nil"/>
            </w:tcBorders>
            <w:shd w:val="clear" w:color="auto" w:fill="FFFFFF"/>
            <w:vAlign w:val="center"/>
          </w:tcPr>
          <w:p w14:paraId="7B874A14"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w:t>
            </w:r>
            <w:r w:rsidRPr="006329C2">
              <w:rPr>
                <w:rFonts w:asciiTheme="minorHAnsi" w:eastAsia="Calibri" w:hAnsiTheme="minorHAnsi" w:cstheme="minorHAnsi"/>
                <w:color w:val="000000"/>
                <w:sz w:val="22"/>
                <w:szCs w:val="22"/>
              </w:rPr>
              <w:t>,817</w:t>
            </w:r>
          </w:p>
        </w:tc>
        <w:tc>
          <w:tcPr>
            <w:tcW w:w="1486" w:type="dxa"/>
            <w:tcBorders>
              <w:left w:val="nil"/>
              <w:right w:val="nil"/>
            </w:tcBorders>
            <w:shd w:val="clear" w:color="auto" w:fill="FFFFFF"/>
            <w:vAlign w:val="center"/>
          </w:tcPr>
          <w:p w14:paraId="1031CC1E"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w:t>
            </w:r>
            <w:r w:rsidRPr="006329C2">
              <w:rPr>
                <w:rFonts w:asciiTheme="minorHAnsi" w:eastAsia="Calibri" w:hAnsiTheme="minorHAnsi" w:cstheme="minorHAnsi"/>
                <w:color w:val="000000"/>
                <w:sz w:val="22"/>
                <w:szCs w:val="22"/>
              </w:rPr>
              <w:t>,731</w:t>
            </w:r>
          </w:p>
        </w:tc>
        <w:tc>
          <w:tcPr>
            <w:tcW w:w="1172" w:type="dxa"/>
            <w:tcBorders>
              <w:left w:val="nil"/>
              <w:right w:val="nil"/>
            </w:tcBorders>
            <w:shd w:val="clear" w:color="auto" w:fill="FFFFFF"/>
            <w:vAlign w:val="center"/>
          </w:tcPr>
          <w:p w14:paraId="61704F46" w14:textId="77777777" w:rsidR="00762A32" w:rsidRPr="006329C2" w:rsidRDefault="00762A32" w:rsidP="00621D78">
            <w:pPr>
              <w:jc w:val="cente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lang w:val="en-US"/>
              </w:rPr>
              <w:t>0,052</w:t>
            </w:r>
          </w:p>
        </w:tc>
        <w:tc>
          <w:tcPr>
            <w:tcW w:w="1257" w:type="dxa"/>
            <w:tcBorders>
              <w:left w:val="nil"/>
              <w:right w:val="nil"/>
            </w:tcBorders>
            <w:shd w:val="clear" w:color="auto" w:fill="FFFFFF"/>
            <w:vAlign w:val="center"/>
          </w:tcPr>
          <w:p w14:paraId="2C9E08FF"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rPr>
              <w:t>15,623***</w:t>
            </w:r>
          </w:p>
        </w:tc>
        <w:tc>
          <w:tcPr>
            <w:tcW w:w="1948" w:type="dxa"/>
            <w:gridSpan w:val="2"/>
            <w:tcBorders>
              <w:left w:val="nil"/>
              <w:right w:val="nil"/>
            </w:tcBorders>
            <w:shd w:val="clear" w:color="auto" w:fill="FFFFFF"/>
            <w:vAlign w:val="center"/>
          </w:tcPr>
          <w:p w14:paraId="45CBECF0" w14:textId="77777777" w:rsidR="00762A32" w:rsidRPr="006329C2" w:rsidRDefault="00762A32" w:rsidP="00621D78">
            <w:pPr>
              <w:jc w:val="cente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lang w:val="en-US"/>
              </w:rPr>
              <w:t>0,534</w:t>
            </w:r>
          </w:p>
        </w:tc>
      </w:tr>
      <w:tr w:rsidR="00762A32" w:rsidRPr="006329C2" w14:paraId="7EC9D6C5" w14:textId="77777777" w:rsidTr="00621D78">
        <w:tc>
          <w:tcPr>
            <w:tcW w:w="2092" w:type="dxa"/>
            <w:tcBorders>
              <w:left w:val="nil"/>
              <w:right w:val="nil"/>
            </w:tcBorders>
            <w:shd w:val="clear" w:color="auto" w:fill="FFFFFF"/>
            <w:vAlign w:val="center"/>
          </w:tcPr>
          <w:p w14:paraId="28170381" w14:textId="77777777" w:rsidR="00762A32" w:rsidRPr="006329C2" w:rsidRDefault="00762A32" w:rsidP="00621D78">
            <w:pPr>
              <w:rPr>
                <w:rFonts w:asciiTheme="minorHAnsi" w:eastAsia="Calibri" w:hAnsiTheme="minorHAnsi" w:cstheme="minorHAnsi"/>
                <w:bCs/>
                <w:color w:val="000000"/>
                <w:sz w:val="22"/>
                <w:szCs w:val="22"/>
                <w:lang w:val="en-US"/>
              </w:rPr>
            </w:pPr>
            <w:r w:rsidRPr="006329C2">
              <w:rPr>
                <w:rFonts w:asciiTheme="minorHAnsi" w:eastAsia="Calibri" w:hAnsiTheme="minorHAnsi" w:cstheme="minorHAnsi"/>
                <w:bCs/>
                <w:color w:val="000000"/>
                <w:sz w:val="22"/>
                <w:szCs w:val="22"/>
                <w:lang w:val="en-US"/>
              </w:rPr>
              <w:t>Negative attitudes</w:t>
            </w:r>
          </w:p>
        </w:tc>
        <w:tc>
          <w:tcPr>
            <w:tcW w:w="2132" w:type="dxa"/>
            <w:tcBorders>
              <w:left w:val="nil"/>
              <w:right w:val="nil"/>
            </w:tcBorders>
            <w:shd w:val="clear" w:color="auto" w:fill="FFFFFF"/>
            <w:vAlign w:val="center"/>
          </w:tcPr>
          <w:p w14:paraId="15EE26C3" w14:textId="77777777" w:rsidR="00762A32" w:rsidRPr="006329C2" w:rsidRDefault="00762A32" w:rsidP="00621D78">
            <w:pP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lang w:val="en-US"/>
              </w:rPr>
              <w:t>Negative attitudes1</w:t>
            </w:r>
          </w:p>
        </w:tc>
        <w:tc>
          <w:tcPr>
            <w:tcW w:w="1469" w:type="dxa"/>
            <w:tcBorders>
              <w:left w:val="nil"/>
              <w:right w:val="nil"/>
            </w:tcBorders>
            <w:shd w:val="clear" w:color="auto" w:fill="FFFFFF"/>
            <w:vAlign w:val="center"/>
          </w:tcPr>
          <w:p w14:paraId="6C51B179" w14:textId="77777777" w:rsidR="00762A32" w:rsidRPr="006329C2" w:rsidRDefault="00762A32" w:rsidP="00621D78">
            <w:pPr>
              <w:jc w:val="cente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rPr>
              <w:t>1,000</w:t>
            </w:r>
          </w:p>
        </w:tc>
        <w:tc>
          <w:tcPr>
            <w:tcW w:w="1486" w:type="dxa"/>
            <w:tcBorders>
              <w:left w:val="nil"/>
              <w:right w:val="nil"/>
            </w:tcBorders>
            <w:shd w:val="clear" w:color="auto" w:fill="FFFFFF"/>
            <w:vAlign w:val="center"/>
          </w:tcPr>
          <w:p w14:paraId="1512565C"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0,807</w:t>
            </w:r>
          </w:p>
        </w:tc>
        <w:tc>
          <w:tcPr>
            <w:tcW w:w="1172" w:type="dxa"/>
            <w:tcBorders>
              <w:left w:val="nil"/>
              <w:right w:val="nil"/>
            </w:tcBorders>
            <w:shd w:val="clear" w:color="auto" w:fill="FFFFFF"/>
            <w:vAlign w:val="center"/>
          </w:tcPr>
          <w:p w14:paraId="7B87D45F"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_a</w:t>
            </w:r>
          </w:p>
        </w:tc>
        <w:tc>
          <w:tcPr>
            <w:tcW w:w="1257" w:type="dxa"/>
            <w:tcBorders>
              <w:left w:val="nil"/>
              <w:right w:val="nil"/>
            </w:tcBorders>
            <w:shd w:val="clear" w:color="auto" w:fill="FFFFFF"/>
            <w:vAlign w:val="center"/>
          </w:tcPr>
          <w:p w14:paraId="24EB2F42"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_a</w:t>
            </w:r>
          </w:p>
        </w:tc>
        <w:tc>
          <w:tcPr>
            <w:tcW w:w="1948" w:type="dxa"/>
            <w:gridSpan w:val="2"/>
            <w:tcBorders>
              <w:left w:val="nil"/>
              <w:right w:val="nil"/>
            </w:tcBorders>
            <w:shd w:val="clear" w:color="auto" w:fill="FFFFFF"/>
            <w:vAlign w:val="center"/>
          </w:tcPr>
          <w:p w14:paraId="6D80BC6F"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0,650</w:t>
            </w:r>
          </w:p>
        </w:tc>
      </w:tr>
      <w:tr w:rsidR="00762A32" w:rsidRPr="006329C2" w14:paraId="38663B6B" w14:textId="77777777" w:rsidTr="00621D78">
        <w:tc>
          <w:tcPr>
            <w:tcW w:w="2092" w:type="dxa"/>
            <w:shd w:val="clear" w:color="auto" w:fill="FFFFFF"/>
            <w:vAlign w:val="center"/>
          </w:tcPr>
          <w:p w14:paraId="20414BDD" w14:textId="77777777" w:rsidR="00762A32" w:rsidRPr="006329C2" w:rsidRDefault="00762A32" w:rsidP="00621D78">
            <w:pPr>
              <w:rPr>
                <w:rFonts w:asciiTheme="minorHAnsi" w:eastAsia="Calibri" w:hAnsiTheme="minorHAnsi" w:cstheme="minorHAnsi"/>
                <w:bCs/>
                <w:color w:val="000000"/>
                <w:sz w:val="22"/>
                <w:szCs w:val="22"/>
                <w:lang w:val="en-US"/>
              </w:rPr>
            </w:pPr>
          </w:p>
        </w:tc>
        <w:tc>
          <w:tcPr>
            <w:tcW w:w="2132" w:type="dxa"/>
            <w:shd w:val="clear" w:color="auto" w:fill="FFFFFF"/>
            <w:vAlign w:val="center"/>
          </w:tcPr>
          <w:p w14:paraId="0408205A" w14:textId="77777777" w:rsidR="00762A32" w:rsidRPr="006329C2" w:rsidRDefault="00762A32" w:rsidP="00621D78">
            <w:pP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lang w:val="en-US"/>
              </w:rPr>
              <w:t>Negative attitudes2</w:t>
            </w:r>
          </w:p>
        </w:tc>
        <w:tc>
          <w:tcPr>
            <w:tcW w:w="1469" w:type="dxa"/>
            <w:shd w:val="clear" w:color="auto" w:fill="FFFFFF"/>
            <w:vAlign w:val="center"/>
          </w:tcPr>
          <w:p w14:paraId="46CDBF9D"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0,986</w:t>
            </w:r>
          </w:p>
        </w:tc>
        <w:tc>
          <w:tcPr>
            <w:tcW w:w="1486" w:type="dxa"/>
            <w:shd w:val="clear" w:color="auto" w:fill="FFFFFF"/>
            <w:vAlign w:val="center"/>
          </w:tcPr>
          <w:p w14:paraId="5E3CB63C"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0,690</w:t>
            </w:r>
          </w:p>
        </w:tc>
        <w:tc>
          <w:tcPr>
            <w:tcW w:w="1172" w:type="dxa"/>
            <w:shd w:val="clear" w:color="auto" w:fill="FFFFFF"/>
            <w:vAlign w:val="center"/>
          </w:tcPr>
          <w:p w14:paraId="5A281195"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0,128</w:t>
            </w:r>
          </w:p>
        </w:tc>
        <w:tc>
          <w:tcPr>
            <w:tcW w:w="1257" w:type="dxa"/>
            <w:shd w:val="clear" w:color="auto" w:fill="FFFFFF"/>
            <w:vAlign w:val="center"/>
          </w:tcPr>
          <w:p w14:paraId="4E376FA6"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rPr>
              <w:t>7,684***</w:t>
            </w:r>
          </w:p>
        </w:tc>
        <w:tc>
          <w:tcPr>
            <w:tcW w:w="1948" w:type="dxa"/>
            <w:gridSpan w:val="2"/>
            <w:shd w:val="clear" w:color="auto" w:fill="FFFFFF"/>
            <w:vAlign w:val="center"/>
          </w:tcPr>
          <w:p w14:paraId="3FC30A12"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0,477</w:t>
            </w:r>
          </w:p>
        </w:tc>
      </w:tr>
      <w:tr w:rsidR="00762A32" w:rsidRPr="006329C2" w14:paraId="03E8E747" w14:textId="77777777" w:rsidTr="00621D78">
        <w:tc>
          <w:tcPr>
            <w:tcW w:w="2092" w:type="dxa"/>
            <w:tcBorders>
              <w:left w:val="nil"/>
              <w:right w:val="nil"/>
            </w:tcBorders>
            <w:shd w:val="clear" w:color="auto" w:fill="FFFFFF"/>
            <w:vAlign w:val="center"/>
          </w:tcPr>
          <w:p w14:paraId="45023A68" w14:textId="77777777" w:rsidR="00762A32" w:rsidRPr="006329C2" w:rsidRDefault="00762A32" w:rsidP="00621D78">
            <w:pPr>
              <w:rPr>
                <w:rFonts w:asciiTheme="minorHAnsi" w:eastAsia="Calibri" w:hAnsiTheme="minorHAnsi" w:cstheme="minorHAnsi"/>
                <w:bCs/>
                <w:color w:val="000000"/>
                <w:sz w:val="22"/>
                <w:szCs w:val="22"/>
                <w:lang w:val="en-US"/>
              </w:rPr>
            </w:pPr>
          </w:p>
        </w:tc>
        <w:tc>
          <w:tcPr>
            <w:tcW w:w="2132" w:type="dxa"/>
            <w:tcBorders>
              <w:left w:val="nil"/>
              <w:right w:val="nil"/>
            </w:tcBorders>
            <w:shd w:val="clear" w:color="auto" w:fill="FFFFFF"/>
            <w:vAlign w:val="center"/>
          </w:tcPr>
          <w:p w14:paraId="01878D03" w14:textId="77777777" w:rsidR="00762A32" w:rsidRPr="006329C2" w:rsidRDefault="00762A32" w:rsidP="00621D78">
            <w:pP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lang w:val="en-US"/>
              </w:rPr>
              <w:t>Negative attitudes3</w:t>
            </w:r>
          </w:p>
        </w:tc>
        <w:tc>
          <w:tcPr>
            <w:tcW w:w="1469" w:type="dxa"/>
            <w:tcBorders>
              <w:left w:val="nil"/>
              <w:right w:val="nil"/>
            </w:tcBorders>
            <w:shd w:val="clear" w:color="auto" w:fill="FFFFFF"/>
            <w:vAlign w:val="center"/>
          </w:tcPr>
          <w:p w14:paraId="48396EC7"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0,620</w:t>
            </w:r>
          </w:p>
        </w:tc>
        <w:tc>
          <w:tcPr>
            <w:tcW w:w="1486" w:type="dxa"/>
            <w:tcBorders>
              <w:left w:val="nil"/>
              <w:right w:val="nil"/>
            </w:tcBorders>
            <w:shd w:val="clear" w:color="auto" w:fill="FFFFFF"/>
            <w:vAlign w:val="center"/>
          </w:tcPr>
          <w:p w14:paraId="5E5B9518"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0,485</w:t>
            </w:r>
          </w:p>
        </w:tc>
        <w:tc>
          <w:tcPr>
            <w:tcW w:w="1172" w:type="dxa"/>
            <w:tcBorders>
              <w:left w:val="nil"/>
              <w:right w:val="nil"/>
            </w:tcBorders>
            <w:shd w:val="clear" w:color="auto" w:fill="FFFFFF"/>
            <w:vAlign w:val="center"/>
          </w:tcPr>
          <w:p w14:paraId="7A73A5FD"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0,107</w:t>
            </w:r>
          </w:p>
        </w:tc>
        <w:tc>
          <w:tcPr>
            <w:tcW w:w="1257" w:type="dxa"/>
            <w:tcBorders>
              <w:left w:val="nil"/>
              <w:right w:val="nil"/>
            </w:tcBorders>
            <w:shd w:val="clear" w:color="auto" w:fill="FFFFFF"/>
            <w:vAlign w:val="center"/>
          </w:tcPr>
          <w:p w14:paraId="41B3C6CF"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rPr>
              <w:t>5,764***</w:t>
            </w:r>
          </w:p>
        </w:tc>
        <w:tc>
          <w:tcPr>
            <w:tcW w:w="1948" w:type="dxa"/>
            <w:gridSpan w:val="2"/>
            <w:tcBorders>
              <w:left w:val="nil"/>
              <w:right w:val="nil"/>
            </w:tcBorders>
            <w:shd w:val="clear" w:color="auto" w:fill="FFFFFF"/>
            <w:vAlign w:val="center"/>
          </w:tcPr>
          <w:p w14:paraId="28DEBC42"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0,235</w:t>
            </w:r>
          </w:p>
        </w:tc>
      </w:tr>
      <w:tr w:rsidR="00762A32" w:rsidRPr="006329C2" w14:paraId="63DFD836" w14:textId="77777777" w:rsidTr="00621D78">
        <w:tc>
          <w:tcPr>
            <w:tcW w:w="2092" w:type="dxa"/>
            <w:tcBorders>
              <w:left w:val="nil"/>
              <w:bottom w:val="nil"/>
              <w:right w:val="nil"/>
            </w:tcBorders>
            <w:shd w:val="clear" w:color="auto" w:fill="FFFFFF"/>
            <w:vAlign w:val="center"/>
          </w:tcPr>
          <w:p w14:paraId="18FD4438" w14:textId="77777777" w:rsidR="00762A32" w:rsidRPr="006329C2" w:rsidRDefault="00762A32" w:rsidP="00621D78">
            <w:pPr>
              <w:rPr>
                <w:rFonts w:asciiTheme="minorHAnsi" w:eastAsia="Calibri" w:hAnsiTheme="minorHAnsi" w:cstheme="minorHAnsi"/>
                <w:bCs/>
                <w:color w:val="000000"/>
                <w:sz w:val="22"/>
                <w:szCs w:val="22"/>
                <w:lang w:val="en-US"/>
              </w:rPr>
            </w:pPr>
            <w:r w:rsidRPr="006329C2">
              <w:rPr>
                <w:rFonts w:asciiTheme="minorHAnsi" w:eastAsia="Calibri" w:hAnsiTheme="minorHAnsi" w:cstheme="minorHAnsi"/>
                <w:bCs/>
                <w:color w:val="000000"/>
                <w:sz w:val="22"/>
                <w:szCs w:val="22"/>
                <w:lang w:val="en-US"/>
              </w:rPr>
              <w:t>Social inclusion</w:t>
            </w:r>
          </w:p>
        </w:tc>
        <w:tc>
          <w:tcPr>
            <w:tcW w:w="2132" w:type="dxa"/>
            <w:tcBorders>
              <w:left w:val="nil"/>
              <w:bottom w:val="nil"/>
              <w:right w:val="nil"/>
            </w:tcBorders>
            <w:shd w:val="clear" w:color="auto" w:fill="FFFFFF"/>
            <w:vAlign w:val="center"/>
          </w:tcPr>
          <w:p w14:paraId="472EDF60" w14:textId="77777777" w:rsidR="00762A32" w:rsidRPr="006329C2" w:rsidRDefault="00762A32" w:rsidP="00621D78">
            <w:pP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lang w:val="en-US"/>
              </w:rPr>
              <w:t>Social inclusion1</w:t>
            </w:r>
          </w:p>
        </w:tc>
        <w:tc>
          <w:tcPr>
            <w:tcW w:w="1469" w:type="dxa"/>
            <w:tcBorders>
              <w:left w:val="nil"/>
              <w:bottom w:val="nil"/>
              <w:right w:val="nil"/>
            </w:tcBorders>
            <w:shd w:val="clear" w:color="auto" w:fill="FFFFFF"/>
            <w:vAlign w:val="center"/>
          </w:tcPr>
          <w:p w14:paraId="6C3C4734" w14:textId="77777777" w:rsidR="00762A32" w:rsidRPr="006329C2" w:rsidRDefault="00762A32" w:rsidP="00621D78">
            <w:pPr>
              <w:jc w:val="cente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rPr>
              <w:t>1,000</w:t>
            </w:r>
          </w:p>
        </w:tc>
        <w:tc>
          <w:tcPr>
            <w:tcW w:w="1486" w:type="dxa"/>
            <w:tcBorders>
              <w:left w:val="nil"/>
              <w:bottom w:val="nil"/>
              <w:right w:val="nil"/>
            </w:tcBorders>
            <w:shd w:val="clear" w:color="auto" w:fill="FFFFFF"/>
            <w:vAlign w:val="center"/>
          </w:tcPr>
          <w:p w14:paraId="5F849438"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0,812</w:t>
            </w:r>
          </w:p>
        </w:tc>
        <w:tc>
          <w:tcPr>
            <w:tcW w:w="1172" w:type="dxa"/>
            <w:tcBorders>
              <w:left w:val="nil"/>
              <w:bottom w:val="nil"/>
              <w:right w:val="nil"/>
            </w:tcBorders>
            <w:shd w:val="clear" w:color="auto" w:fill="FFFFFF"/>
            <w:vAlign w:val="center"/>
          </w:tcPr>
          <w:p w14:paraId="7C370BC5"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_a</w:t>
            </w:r>
          </w:p>
        </w:tc>
        <w:tc>
          <w:tcPr>
            <w:tcW w:w="1257" w:type="dxa"/>
            <w:tcBorders>
              <w:left w:val="nil"/>
              <w:bottom w:val="nil"/>
              <w:right w:val="nil"/>
            </w:tcBorders>
            <w:shd w:val="clear" w:color="auto" w:fill="FFFFFF"/>
            <w:vAlign w:val="center"/>
          </w:tcPr>
          <w:p w14:paraId="66CB8631"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_a</w:t>
            </w:r>
          </w:p>
        </w:tc>
        <w:tc>
          <w:tcPr>
            <w:tcW w:w="1948" w:type="dxa"/>
            <w:gridSpan w:val="2"/>
            <w:tcBorders>
              <w:left w:val="nil"/>
              <w:bottom w:val="nil"/>
              <w:right w:val="nil"/>
            </w:tcBorders>
            <w:shd w:val="clear" w:color="auto" w:fill="FFFFFF"/>
            <w:vAlign w:val="center"/>
          </w:tcPr>
          <w:p w14:paraId="28E7E8EF"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0,659</w:t>
            </w:r>
          </w:p>
        </w:tc>
      </w:tr>
      <w:tr w:rsidR="00762A32" w:rsidRPr="006329C2" w14:paraId="0DA2F2B5" w14:textId="77777777" w:rsidTr="00621D78">
        <w:tc>
          <w:tcPr>
            <w:tcW w:w="2092" w:type="dxa"/>
            <w:tcBorders>
              <w:top w:val="nil"/>
              <w:bottom w:val="nil"/>
            </w:tcBorders>
            <w:shd w:val="clear" w:color="auto" w:fill="FFFFFF"/>
            <w:vAlign w:val="center"/>
          </w:tcPr>
          <w:p w14:paraId="1D768316" w14:textId="77777777" w:rsidR="00762A32" w:rsidRPr="006329C2" w:rsidRDefault="00762A32" w:rsidP="00621D78">
            <w:pPr>
              <w:rPr>
                <w:rFonts w:asciiTheme="minorHAnsi" w:eastAsia="Calibri" w:hAnsiTheme="minorHAnsi" w:cstheme="minorHAnsi"/>
                <w:bCs/>
                <w:color w:val="000000"/>
                <w:sz w:val="22"/>
                <w:szCs w:val="22"/>
                <w:lang w:val="en-US"/>
              </w:rPr>
            </w:pPr>
          </w:p>
        </w:tc>
        <w:tc>
          <w:tcPr>
            <w:tcW w:w="2132" w:type="dxa"/>
            <w:tcBorders>
              <w:top w:val="nil"/>
              <w:bottom w:val="nil"/>
            </w:tcBorders>
            <w:shd w:val="clear" w:color="auto" w:fill="FFFFFF"/>
            <w:vAlign w:val="center"/>
          </w:tcPr>
          <w:p w14:paraId="668F92F2" w14:textId="77777777" w:rsidR="00762A32" w:rsidRPr="006329C2" w:rsidRDefault="00762A32" w:rsidP="00621D78">
            <w:pP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lang w:val="en-US"/>
              </w:rPr>
              <w:t>Social inclusion2</w:t>
            </w:r>
          </w:p>
        </w:tc>
        <w:tc>
          <w:tcPr>
            <w:tcW w:w="1469" w:type="dxa"/>
            <w:tcBorders>
              <w:top w:val="nil"/>
              <w:bottom w:val="nil"/>
            </w:tcBorders>
            <w:shd w:val="clear" w:color="auto" w:fill="FFFFFF"/>
            <w:vAlign w:val="center"/>
          </w:tcPr>
          <w:p w14:paraId="2D053158"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rPr>
              <w:t>1,074</w:t>
            </w:r>
          </w:p>
        </w:tc>
        <w:tc>
          <w:tcPr>
            <w:tcW w:w="1486" w:type="dxa"/>
            <w:tcBorders>
              <w:top w:val="nil"/>
              <w:bottom w:val="nil"/>
            </w:tcBorders>
            <w:shd w:val="clear" w:color="auto" w:fill="FFFFFF"/>
            <w:vAlign w:val="center"/>
          </w:tcPr>
          <w:p w14:paraId="3B42D83B"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0,795</w:t>
            </w:r>
          </w:p>
        </w:tc>
        <w:tc>
          <w:tcPr>
            <w:tcW w:w="1172" w:type="dxa"/>
            <w:tcBorders>
              <w:top w:val="nil"/>
              <w:bottom w:val="nil"/>
            </w:tcBorders>
            <w:shd w:val="clear" w:color="auto" w:fill="FFFFFF"/>
            <w:vAlign w:val="center"/>
          </w:tcPr>
          <w:p w14:paraId="0E6E326B"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0,156</w:t>
            </w:r>
          </w:p>
        </w:tc>
        <w:tc>
          <w:tcPr>
            <w:tcW w:w="1257" w:type="dxa"/>
            <w:tcBorders>
              <w:top w:val="nil"/>
              <w:bottom w:val="nil"/>
            </w:tcBorders>
            <w:shd w:val="clear" w:color="auto" w:fill="FFFFFF"/>
            <w:vAlign w:val="center"/>
          </w:tcPr>
          <w:p w14:paraId="3490E453"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rPr>
              <w:t>6,871***</w:t>
            </w:r>
          </w:p>
        </w:tc>
        <w:tc>
          <w:tcPr>
            <w:tcW w:w="1948" w:type="dxa"/>
            <w:gridSpan w:val="2"/>
            <w:tcBorders>
              <w:top w:val="nil"/>
              <w:bottom w:val="nil"/>
            </w:tcBorders>
            <w:shd w:val="clear" w:color="auto" w:fill="FFFFFF"/>
            <w:vAlign w:val="center"/>
          </w:tcPr>
          <w:p w14:paraId="3594197F"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0,632</w:t>
            </w:r>
          </w:p>
        </w:tc>
      </w:tr>
      <w:tr w:rsidR="00762A32" w:rsidRPr="006329C2" w14:paraId="421304D2" w14:textId="77777777" w:rsidTr="00621D78">
        <w:tc>
          <w:tcPr>
            <w:tcW w:w="2092" w:type="dxa"/>
            <w:tcBorders>
              <w:top w:val="nil"/>
              <w:bottom w:val="single" w:sz="4" w:space="0" w:color="auto"/>
            </w:tcBorders>
            <w:shd w:val="clear" w:color="auto" w:fill="FFFFFF"/>
          </w:tcPr>
          <w:p w14:paraId="3F45CDDD" w14:textId="77777777" w:rsidR="00762A32" w:rsidRPr="006329C2" w:rsidRDefault="00762A32" w:rsidP="00621D78">
            <w:pPr>
              <w:rPr>
                <w:rFonts w:asciiTheme="minorHAnsi" w:eastAsia="Calibri" w:hAnsiTheme="minorHAnsi" w:cstheme="minorHAnsi"/>
                <w:bCs/>
                <w:color w:val="000000"/>
                <w:sz w:val="22"/>
                <w:szCs w:val="22"/>
                <w:lang w:val="en-US"/>
              </w:rPr>
            </w:pPr>
          </w:p>
        </w:tc>
        <w:tc>
          <w:tcPr>
            <w:tcW w:w="2132" w:type="dxa"/>
            <w:tcBorders>
              <w:top w:val="nil"/>
              <w:bottom w:val="single" w:sz="4" w:space="0" w:color="auto"/>
            </w:tcBorders>
            <w:shd w:val="clear" w:color="auto" w:fill="FFFFFF"/>
            <w:vAlign w:val="center"/>
          </w:tcPr>
          <w:p w14:paraId="73F77564" w14:textId="77777777" w:rsidR="00762A32" w:rsidRPr="006329C2" w:rsidRDefault="00762A32" w:rsidP="00621D78">
            <w:pP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lang w:val="en-US"/>
              </w:rPr>
              <w:t>Social inclusion3</w:t>
            </w:r>
          </w:p>
        </w:tc>
        <w:tc>
          <w:tcPr>
            <w:tcW w:w="1469" w:type="dxa"/>
            <w:tcBorders>
              <w:top w:val="nil"/>
              <w:bottom w:val="single" w:sz="4" w:space="0" w:color="auto"/>
            </w:tcBorders>
            <w:shd w:val="clear" w:color="auto" w:fill="FFFFFF"/>
            <w:vAlign w:val="center"/>
          </w:tcPr>
          <w:p w14:paraId="775F82EC"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0,309</w:t>
            </w:r>
          </w:p>
        </w:tc>
        <w:tc>
          <w:tcPr>
            <w:tcW w:w="1486" w:type="dxa"/>
            <w:tcBorders>
              <w:top w:val="nil"/>
              <w:bottom w:val="single" w:sz="4" w:space="0" w:color="auto"/>
            </w:tcBorders>
            <w:shd w:val="clear" w:color="auto" w:fill="FFFFFF"/>
            <w:vAlign w:val="center"/>
          </w:tcPr>
          <w:p w14:paraId="262E92D8"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0,284</w:t>
            </w:r>
          </w:p>
        </w:tc>
        <w:tc>
          <w:tcPr>
            <w:tcW w:w="1172" w:type="dxa"/>
            <w:tcBorders>
              <w:top w:val="nil"/>
              <w:bottom w:val="single" w:sz="4" w:space="0" w:color="auto"/>
            </w:tcBorders>
            <w:shd w:val="clear" w:color="auto" w:fill="FFFFFF"/>
            <w:vAlign w:val="center"/>
          </w:tcPr>
          <w:p w14:paraId="63C42CBA" w14:textId="77777777" w:rsidR="00762A32" w:rsidRPr="006329C2" w:rsidRDefault="00762A32" w:rsidP="00621D78">
            <w:pPr>
              <w:jc w:val="center"/>
              <w:rPr>
                <w:rFonts w:asciiTheme="minorHAnsi" w:eastAsia="Calibri" w:hAnsiTheme="minorHAnsi" w:cstheme="minorHAnsi"/>
                <w:color w:val="000000"/>
                <w:sz w:val="22"/>
                <w:szCs w:val="22"/>
                <w:lang w:val="en-US"/>
              </w:rPr>
            </w:pPr>
            <w:r w:rsidRPr="006329C2">
              <w:rPr>
                <w:rFonts w:asciiTheme="minorHAnsi" w:eastAsia="Calibri" w:hAnsiTheme="minorHAnsi" w:cstheme="minorHAnsi"/>
                <w:color w:val="000000"/>
                <w:sz w:val="22"/>
                <w:szCs w:val="22"/>
                <w:lang w:val="en-US"/>
              </w:rPr>
              <w:t>0,079</w:t>
            </w:r>
          </w:p>
        </w:tc>
        <w:tc>
          <w:tcPr>
            <w:tcW w:w="1257" w:type="dxa"/>
            <w:tcBorders>
              <w:top w:val="nil"/>
              <w:bottom w:val="single" w:sz="4" w:space="0" w:color="auto"/>
            </w:tcBorders>
            <w:shd w:val="clear" w:color="auto" w:fill="FFFFFF"/>
            <w:vAlign w:val="center"/>
          </w:tcPr>
          <w:p w14:paraId="77F4C79D"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rPr>
              <w:t>3,896***</w:t>
            </w:r>
          </w:p>
        </w:tc>
        <w:tc>
          <w:tcPr>
            <w:tcW w:w="1948" w:type="dxa"/>
            <w:gridSpan w:val="2"/>
            <w:tcBorders>
              <w:top w:val="nil"/>
              <w:bottom w:val="single" w:sz="4" w:space="0" w:color="auto"/>
            </w:tcBorders>
            <w:shd w:val="clear" w:color="auto" w:fill="FFFFFF"/>
            <w:vAlign w:val="center"/>
          </w:tcPr>
          <w:p w14:paraId="049ACF65" w14:textId="77777777" w:rsidR="00762A32" w:rsidRPr="006329C2" w:rsidRDefault="00762A32" w:rsidP="00621D78">
            <w:pPr>
              <w:jc w:val="center"/>
              <w:rPr>
                <w:rFonts w:asciiTheme="minorHAnsi" w:eastAsia="Calibri" w:hAnsiTheme="minorHAnsi" w:cstheme="minorHAnsi"/>
                <w:color w:val="000000"/>
                <w:sz w:val="22"/>
                <w:szCs w:val="22"/>
              </w:rPr>
            </w:pPr>
            <w:r w:rsidRPr="006329C2">
              <w:rPr>
                <w:rFonts w:asciiTheme="minorHAnsi" w:eastAsia="Calibri" w:hAnsiTheme="minorHAnsi" w:cstheme="minorHAnsi"/>
                <w:color w:val="000000"/>
                <w:sz w:val="22"/>
                <w:szCs w:val="22"/>
                <w:lang w:val="en-US"/>
              </w:rPr>
              <w:t>0,081</w:t>
            </w:r>
          </w:p>
        </w:tc>
      </w:tr>
      <w:tr w:rsidR="00762A32" w:rsidRPr="006329C2" w14:paraId="2871CFEF" w14:textId="77777777" w:rsidTr="00621D78">
        <w:trPr>
          <w:gridAfter w:val="1"/>
          <w:wAfter w:w="74" w:type="dxa"/>
        </w:trPr>
        <w:tc>
          <w:tcPr>
            <w:tcW w:w="11482" w:type="dxa"/>
            <w:gridSpan w:val="7"/>
            <w:tcBorders>
              <w:top w:val="nil"/>
              <w:bottom w:val="nil"/>
            </w:tcBorders>
            <w:shd w:val="clear" w:color="auto" w:fill="FFFFFF"/>
          </w:tcPr>
          <w:p w14:paraId="6EACCFCB" w14:textId="77777777" w:rsidR="00762A32" w:rsidRPr="00445B43" w:rsidRDefault="00762A32" w:rsidP="00621D78">
            <w:pPr>
              <w:jc w:val="both"/>
              <w:rPr>
                <w:rFonts w:asciiTheme="minorHAnsi" w:eastAsia="Calibri" w:hAnsiTheme="minorHAnsi" w:cstheme="minorHAnsi"/>
                <w:sz w:val="22"/>
                <w:szCs w:val="22"/>
              </w:rPr>
            </w:pPr>
          </w:p>
          <w:p w14:paraId="52DCD5C1" w14:textId="77777777" w:rsidR="00762A32" w:rsidRDefault="00762A32" w:rsidP="00621D78">
            <w:pPr>
              <w:jc w:val="both"/>
              <w:rPr>
                <w:rFonts w:asciiTheme="minorHAnsi" w:eastAsia="Calibri" w:hAnsiTheme="minorHAnsi" w:cstheme="minorHAnsi"/>
                <w:sz w:val="22"/>
                <w:szCs w:val="22"/>
              </w:rPr>
            </w:pPr>
          </w:p>
          <w:p w14:paraId="7D012C58" w14:textId="77777777" w:rsidR="00762A32" w:rsidRPr="00445B43" w:rsidRDefault="00762A32" w:rsidP="00621D78">
            <w:pPr>
              <w:jc w:val="both"/>
              <w:rPr>
                <w:rFonts w:asciiTheme="minorHAnsi" w:eastAsia="Calibri" w:hAnsiTheme="minorHAnsi" w:cstheme="minorHAnsi"/>
                <w:sz w:val="22"/>
                <w:szCs w:val="22"/>
              </w:rPr>
            </w:pPr>
            <w:r w:rsidRPr="00445B43">
              <w:rPr>
                <w:rFonts w:asciiTheme="minorHAnsi" w:eastAsia="Calibri" w:hAnsiTheme="minorHAnsi" w:cstheme="minorHAnsi"/>
                <w:sz w:val="22"/>
                <w:szCs w:val="22"/>
              </w:rPr>
              <w:t>Δείκτες καλής προσαρμογής (Μοντέλο1</w:t>
            </w:r>
            <w:r w:rsidRPr="00445B43">
              <w:rPr>
                <w:rFonts w:asciiTheme="minorHAnsi" w:eastAsia="Calibri" w:hAnsiTheme="minorHAnsi" w:cstheme="minorHAnsi"/>
                <w:sz w:val="22"/>
                <w:szCs w:val="22"/>
                <w:vertAlign w:val="subscript"/>
              </w:rPr>
              <w:t>α</w:t>
            </w:r>
            <w:r w:rsidRPr="00445B43">
              <w:rPr>
                <w:rFonts w:asciiTheme="minorHAnsi" w:eastAsia="Calibri" w:hAnsiTheme="minorHAnsi" w:cstheme="minorHAnsi"/>
                <w:sz w:val="22"/>
                <w:szCs w:val="22"/>
              </w:rPr>
              <w:t xml:space="preserve">) = </w:t>
            </w:r>
            <w:r w:rsidRPr="00445B43">
              <w:rPr>
                <w:rFonts w:asciiTheme="minorHAnsi" w:eastAsia="Calibri" w:hAnsiTheme="minorHAnsi" w:cstheme="minorHAnsi"/>
                <w:bCs/>
                <w:i/>
                <w:sz w:val="22"/>
                <w:szCs w:val="22"/>
                <w:lang w:val="en-US"/>
              </w:rPr>
              <w:t>X</w:t>
            </w:r>
            <w:r w:rsidRPr="00445B43">
              <w:rPr>
                <w:rFonts w:asciiTheme="minorHAnsi" w:eastAsia="Calibri" w:hAnsiTheme="minorHAnsi" w:cstheme="minorHAnsi"/>
                <w:bCs/>
                <w:sz w:val="22"/>
                <w:szCs w:val="22"/>
                <w:vertAlign w:val="superscript"/>
              </w:rPr>
              <w:t>2</w:t>
            </w:r>
            <w:r w:rsidRPr="00445B43">
              <w:rPr>
                <w:rFonts w:asciiTheme="minorHAnsi" w:eastAsia="Calibri" w:hAnsiTheme="minorHAnsi" w:cstheme="minorHAnsi"/>
                <w:bCs/>
                <w:sz w:val="22"/>
                <w:szCs w:val="22"/>
              </w:rPr>
              <w:t>/</w:t>
            </w:r>
            <w:r w:rsidRPr="00445B43">
              <w:rPr>
                <w:rFonts w:asciiTheme="minorHAnsi" w:eastAsia="Calibri" w:hAnsiTheme="minorHAnsi" w:cstheme="minorHAnsi"/>
                <w:bCs/>
                <w:i/>
                <w:sz w:val="22"/>
                <w:szCs w:val="22"/>
                <w:lang w:val="en-US"/>
              </w:rPr>
              <w:t>df</w:t>
            </w:r>
            <w:r w:rsidRPr="00445B43">
              <w:rPr>
                <w:rFonts w:asciiTheme="minorHAnsi" w:eastAsia="Calibri" w:hAnsiTheme="minorHAnsi" w:cstheme="minorHAnsi"/>
                <w:bCs/>
                <w:i/>
                <w:sz w:val="22"/>
                <w:szCs w:val="22"/>
              </w:rPr>
              <w:t xml:space="preserve"> </w:t>
            </w:r>
            <w:r w:rsidRPr="00445B43">
              <w:rPr>
                <w:rFonts w:asciiTheme="minorHAnsi" w:eastAsia="Calibri" w:hAnsiTheme="minorHAnsi" w:cstheme="minorHAnsi"/>
                <w:bCs/>
                <w:sz w:val="22"/>
                <w:szCs w:val="22"/>
              </w:rPr>
              <w:t xml:space="preserve">= 2,365, NFI = 0,933, RFI = 0,915, IFI = 0,960, </w:t>
            </w:r>
            <w:r w:rsidRPr="00445B43">
              <w:rPr>
                <w:rFonts w:asciiTheme="minorHAnsi" w:eastAsia="Calibri" w:hAnsiTheme="minorHAnsi" w:cstheme="minorHAnsi"/>
                <w:bCs/>
                <w:sz w:val="22"/>
                <w:szCs w:val="22"/>
                <w:lang w:val="en-US"/>
              </w:rPr>
              <w:t>TLI</w:t>
            </w:r>
            <w:r w:rsidRPr="00445B43">
              <w:rPr>
                <w:rFonts w:asciiTheme="minorHAnsi" w:eastAsia="Calibri" w:hAnsiTheme="minorHAnsi" w:cstheme="minorHAnsi"/>
                <w:bCs/>
                <w:sz w:val="22"/>
                <w:szCs w:val="22"/>
              </w:rPr>
              <w:t xml:space="preserve"> = 0,949, </w:t>
            </w:r>
            <w:r w:rsidRPr="00445B43">
              <w:rPr>
                <w:rFonts w:asciiTheme="minorHAnsi" w:eastAsia="Calibri" w:hAnsiTheme="minorHAnsi" w:cstheme="minorHAnsi"/>
                <w:bCs/>
                <w:sz w:val="22"/>
                <w:szCs w:val="22"/>
                <w:lang w:val="en-US"/>
              </w:rPr>
              <w:t>CFI</w:t>
            </w:r>
            <w:r w:rsidRPr="00445B43">
              <w:rPr>
                <w:rFonts w:asciiTheme="minorHAnsi" w:eastAsia="Calibri" w:hAnsiTheme="minorHAnsi" w:cstheme="minorHAnsi"/>
                <w:bCs/>
                <w:sz w:val="22"/>
                <w:szCs w:val="22"/>
              </w:rPr>
              <w:t xml:space="preserve"> = 0,960, GFI = 0,916, AGFI = 0,877, RMSEA (90% CI) = 0,075 (0,059-0,091), RMR = 0,087, SRMR = 0,078</w:t>
            </w:r>
            <w:r w:rsidRPr="00445B43">
              <w:rPr>
                <w:rFonts w:asciiTheme="minorHAnsi" w:eastAsia="Calibri" w:hAnsiTheme="minorHAnsi" w:cstheme="minorHAnsi"/>
                <w:sz w:val="22"/>
                <w:szCs w:val="22"/>
              </w:rPr>
              <w:t>.</w:t>
            </w:r>
          </w:p>
          <w:p w14:paraId="310F2701" w14:textId="77777777" w:rsidR="00762A32" w:rsidRPr="00445B43" w:rsidRDefault="00762A32" w:rsidP="00621D78">
            <w:pPr>
              <w:jc w:val="both"/>
              <w:rPr>
                <w:rFonts w:asciiTheme="minorHAnsi" w:eastAsia="Calibri" w:hAnsiTheme="minorHAnsi" w:cstheme="minorHAnsi"/>
                <w:sz w:val="22"/>
                <w:szCs w:val="22"/>
              </w:rPr>
            </w:pPr>
            <w:r w:rsidRPr="00445B43">
              <w:rPr>
                <w:rFonts w:asciiTheme="minorHAnsi" w:eastAsia="Calibri" w:hAnsiTheme="minorHAnsi" w:cstheme="minorHAnsi"/>
                <w:sz w:val="22"/>
                <w:szCs w:val="22"/>
                <w:vertAlign w:val="superscript"/>
                <w:lang w:val="en-US"/>
              </w:rPr>
              <w:t>a</w:t>
            </w:r>
            <w:r w:rsidRPr="00445B43">
              <w:rPr>
                <w:rFonts w:asciiTheme="minorHAnsi" w:eastAsia="Calibri" w:hAnsiTheme="minorHAnsi" w:cstheme="minorHAnsi"/>
                <w:sz w:val="22"/>
                <w:szCs w:val="22"/>
              </w:rPr>
              <w:t xml:space="preserve"> Υποδεικνύει ότι η πρώτη μεταβλητή σε κάθε παράγοντα έχει </w:t>
            </w:r>
            <w:proofErr w:type="spellStart"/>
            <w:r w:rsidRPr="00445B43">
              <w:rPr>
                <w:rFonts w:asciiTheme="minorHAnsi" w:eastAsia="Calibri" w:hAnsiTheme="minorHAnsi" w:cstheme="minorHAnsi"/>
                <w:sz w:val="22"/>
                <w:szCs w:val="22"/>
              </w:rPr>
              <w:t>μοναδιαίο</w:t>
            </w:r>
            <w:proofErr w:type="spellEnd"/>
            <w:r w:rsidRPr="00445B43">
              <w:rPr>
                <w:rFonts w:asciiTheme="minorHAnsi" w:eastAsia="Calibri" w:hAnsiTheme="minorHAnsi" w:cstheme="minorHAnsi"/>
                <w:sz w:val="22"/>
                <w:szCs w:val="22"/>
              </w:rPr>
              <w:t xml:space="preserve"> συντελεστή παλινδρόμησης.</w:t>
            </w:r>
          </w:p>
          <w:p w14:paraId="2D580EBB" w14:textId="77777777" w:rsidR="00762A32" w:rsidRPr="00445B43" w:rsidRDefault="00762A32" w:rsidP="00621D78">
            <w:pPr>
              <w:jc w:val="both"/>
              <w:rPr>
                <w:rFonts w:asciiTheme="minorHAnsi" w:eastAsia="Calibri" w:hAnsiTheme="minorHAnsi" w:cstheme="minorHAnsi"/>
                <w:sz w:val="22"/>
                <w:szCs w:val="22"/>
              </w:rPr>
            </w:pPr>
            <w:r w:rsidRPr="00445B43">
              <w:rPr>
                <w:rFonts w:asciiTheme="minorHAnsi" w:eastAsia="Calibri" w:hAnsiTheme="minorHAnsi" w:cstheme="minorHAnsi"/>
                <w:sz w:val="22"/>
                <w:szCs w:val="22"/>
                <w:vertAlign w:val="superscript"/>
                <w:lang w:val="en-US"/>
              </w:rPr>
              <w:t>b</w:t>
            </w:r>
            <w:r w:rsidRPr="00445B43">
              <w:rPr>
                <w:rFonts w:asciiTheme="minorHAnsi" w:eastAsia="Calibri" w:hAnsiTheme="minorHAnsi" w:cstheme="minorHAnsi"/>
                <w:sz w:val="22"/>
                <w:szCs w:val="22"/>
              </w:rPr>
              <w:t xml:space="preserve"> Για την εξέταση της στατιστικής σημαντικότητας των παραγοντικών φορτίσεων ανά ερώτηση εξετάστηκε το πηλίκο της αστάθμητης παραγοντικής φόρτισης (</w:t>
            </w:r>
            <w:proofErr w:type="spellStart"/>
            <w:r w:rsidRPr="00445B43">
              <w:rPr>
                <w:rFonts w:asciiTheme="minorHAnsi" w:eastAsia="Calibri" w:hAnsiTheme="minorHAnsi" w:cstheme="minorHAnsi"/>
                <w:sz w:val="22"/>
                <w:szCs w:val="22"/>
              </w:rPr>
              <w:t>unstandardized</w:t>
            </w:r>
            <w:proofErr w:type="spellEnd"/>
            <w:r w:rsidRPr="00445B43">
              <w:rPr>
                <w:rFonts w:asciiTheme="minorHAnsi" w:eastAsia="Calibri" w:hAnsiTheme="minorHAnsi" w:cstheme="minorHAnsi"/>
                <w:sz w:val="22"/>
                <w:szCs w:val="22"/>
              </w:rPr>
              <w:t xml:space="preserve"> </w:t>
            </w:r>
            <w:proofErr w:type="spellStart"/>
            <w:r w:rsidRPr="00445B43">
              <w:rPr>
                <w:rFonts w:asciiTheme="minorHAnsi" w:eastAsia="Calibri" w:hAnsiTheme="minorHAnsi" w:cstheme="minorHAnsi"/>
                <w:sz w:val="22"/>
                <w:szCs w:val="22"/>
              </w:rPr>
              <w:t>factor</w:t>
            </w:r>
            <w:proofErr w:type="spellEnd"/>
            <w:r w:rsidRPr="00445B43">
              <w:rPr>
                <w:rFonts w:asciiTheme="minorHAnsi" w:eastAsia="Calibri" w:hAnsiTheme="minorHAnsi" w:cstheme="minorHAnsi"/>
                <w:sz w:val="22"/>
                <w:szCs w:val="22"/>
              </w:rPr>
              <w:t xml:space="preserve"> </w:t>
            </w:r>
            <w:proofErr w:type="spellStart"/>
            <w:r w:rsidRPr="00445B43">
              <w:rPr>
                <w:rFonts w:asciiTheme="minorHAnsi" w:eastAsia="Calibri" w:hAnsiTheme="minorHAnsi" w:cstheme="minorHAnsi"/>
                <w:sz w:val="22"/>
                <w:szCs w:val="22"/>
              </w:rPr>
              <w:t>loading</w:t>
            </w:r>
            <w:proofErr w:type="spellEnd"/>
            <w:r w:rsidRPr="00445B43">
              <w:rPr>
                <w:rFonts w:asciiTheme="minorHAnsi" w:eastAsia="Calibri" w:hAnsiTheme="minorHAnsi" w:cstheme="minorHAnsi"/>
                <w:sz w:val="22"/>
                <w:szCs w:val="22"/>
              </w:rPr>
              <w:t>) προς το τυπικό σφάλμα (</w:t>
            </w:r>
            <w:proofErr w:type="spellStart"/>
            <w:r w:rsidRPr="00445B43">
              <w:rPr>
                <w:rFonts w:asciiTheme="minorHAnsi" w:eastAsia="Calibri" w:hAnsiTheme="minorHAnsi" w:cstheme="minorHAnsi"/>
                <w:sz w:val="22"/>
                <w:szCs w:val="22"/>
              </w:rPr>
              <w:t>standard</w:t>
            </w:r>
            <w:proofErr w:type="spellEnd"/>
            <w:r w:rsidRPr="00445B43">
              <w:rPr>
                <w:rFonts w:asciiTheme="minorHAnsi" w:eastAsia="Calibri" w:hAnsiTheme="minorHAnsi" w:cstheme="minorHAnsi"/>
                <w:sz w:val="22"/>
                <w:szCs w:val="22"/>
              </w:rPr>
              <w:t xml:space="preserve"> </w:t>
            </w:r>
            <w:proofErr w:type="spellStart"/>
            <w:r w:rsidRPr="00445B43">
              <w:rPr>
                <w:rFonts w:asciiTheme="minorHAnsi" w:eastAsia="Calibri" w:hAnsiTheme="minorHAnsi" w:cstheme="minorHAnsi"/>
                <w:sz w:val="22"/>
                <w:szCs w:val="22"/>
              </w:rPr>
              <w:t>error</w:t>
            </w:r>
            <w:proofErr w:type="spellEnd"/>
            <w:r w:rsidRPr="00445B43">
              <w:rPr>
                <w:rFonts w:asciiTheme="minorHAnsi" w:eastAsia="Calibri" w:hAnsiTheme="minorHAnsi" w:cstheme="minorHAnsi"/>
                <w:sz w:val="22"/>
                <w:szCs w:val="22"/>
              </w:rPr>
              <w:t xml:space="preserve">). </w:t>
            </w:r>
          </w:p>
          <w:p w14:paraId="2639ECB5" w14:textId="77777777" w:rsidR="00762A32" w:rsidRPr="00445B43" w:rsidRDefault="00762A32" w:rsidP="00621D78">
            <w:pPr>
              <w:jc w:val="both"/>
              <w:rPr>
                <w:rFonts w:asciiTheme="minorHAnsi" w:eastAsia="Calibri" w:hAnsiTheme="minorHAnsi" w:cstheme="minorHAnsi"/>
                <w:sz w:val="22"/>
                <w:szCs w:val="22"/>
              </w:rPr>
            </w:pPr>
            <w:r w:rsidRPr="00445B43">
              <w:rPr>
                <w:rFonts w:asciiTheme="minorHAnsi" w:eastAsia="Calibri" w:hAnsiTheme="minorHAnsi" w:cstheme="minorHAnsi"/>
                <w:i/>
                <w:sz w:val="22"/>
                <w:szCs w:val="22"/>
                <w:lang w:val="en-US"/>
              </w:rPr>
              <w:t>t</w:t>
            </w:r>
            <w:r w:rsidRPr="00445B43">
              <w:rPr>
                <w:rFonts w:asciiTheme="minorHAnsi" w:eastAsia="Calibri" w:hAnsiTheme="minorHAnsi" w:cstheme="minorHAnsi"/>
                <w:i/>
                <w:sz w:val="22"/>
                <w:szCs w:val="22"/>
              </w:rPr>
              <w:t>-</w:t>
            </w:r>
            <w:r w:rsidRPr="00445B43">
              <w:rPr>
                <w:rFonts w:asciiTheme="minorHAnsi" w:eastAsia="Calibri" w:hAnsiTheme="minorHAnsi" w:cstheme="minorHAnsi"/>
                <w:sz w:val="22"/>
                <w:szCs w:val="22"/>
              </w:rPr>
              <w:t>τιμή &gt; |2,576|, σημαίνει ότι το αποτέλεσμα είναι στατιστικά σημαντικό σε επίπεδο 0,01.</w:t>
            </w:r>
          </w:p>
          <w:p w14:paraId="173AAE41" w14:textId="0E4AB7C2" w:rsidR="00762A32" w:rsidRDefault="00762A32" w:rsidP="00621D78">
            <w:pPr>
              <w:jc w:val="both"/>
              <w:rPr>
                <w:rFonts w:asciiTheme="minorHAnsi" w:eastAsia="Calibri" w:hAnsiTheme="minorHAnsi" w:cstheme="minorHAnsi"/>
                <w:color w:val="000000"/>
                <w:sz w:val="22"/>
                <w:szCs w:val="22"/>
              </w:rPr>
            </w:pPr>
            <w:r w:rsidRPr="00445B43">
              <w:rPr>
                <w:rFonts w:asciiTheme="minorHAnsi" w:eastAsia="Calibri" w:hAnsiTheme="minorHAnsi" w:cstheme="minorHAnsi"/>
                <w:color w:val="000000"/>
                <w:sz w:val="22"/>
                <w:szCs w:val="22"/>
              </w:rPr>
              <w:t xml:space="preserve">*** </w:t>
            </w:r>
            <w:r w:rsidRPr="00445B43">
              <w:rPr>
                <w:rFonts w:asciiTheme="minorHAnsi" w:eastAsia="Calibri" w:hAnsiTheme="minorHAnsi" w:cstheme="minorHAnsi"/>
                <w:i/>
                <w:color w:val="000000"/>
                <w:sz w:val="22"/>
                <w:szCs w:val="22"/>
                <w:lang w:val="en-US"/>
              </w:rPr>
              <w:t>p</w:t>
            </w:r>
            <w:r w:rsidRPr="00445B43">
              <w:rPr>
                <w:rFonts w:asciiTheme="minorHAnsi" w:eastAsia="Calibri" w:hAnsiTheme="minorHAnsi" w:cstheme="minorHAnsi"/>
                <w:color w:val="000000"/>
                <w:sz w:val="22"/>
                <w:szCs w:val="22"/>
              </w:rPr>
              <w:t xml:space="preserve"> &lt; 0,001 (</w:t>
            </w:r>
            <w:r w:rsidRPr="00445B43">
              <w:rPr>
                <w:rFonts w:asciiTheme="minorHAnsi" w:eastAsia="Calibri" w:hAnsiTheme="minorHAnsi" w:cstheme="minorHAnsi"/>
                <w:color w:val="000000"/>
                <w:sz w:val="22"/>
                <w:szCs w:val="22"/>
                <w:lang w:val="en-US"/>
              </w:rPr>
              <w:t>two</w:t>
            </w:r>
            <w:r w:rsidRPr="00445B43">
              <w:rPr>
                <w:rFonts w:asciiTheme="minorHAnsi" w:eastAsia="Calibri" w:hAnsiTheme="minorHAnsi" w:cstheme="minorHAnsi"/>
                <w:color w:val="000000"/>
                <w:sz w:val="22"/>
                <w:szCs w:val="22"/>
              </w:rPr>
              <w:t>-</w:t>
            </w:r>
            <w:r w:rsidRPr="00445B43">
              <w:rPr>
                <w:rFonts w:asciiTheme="minorHAnsi" w:eastAsia="Calibri" w:hAnsiTheme="minorHAnsi" w:cstheme="minorHAnsi"/>
                <w:color w:val="000000"/>
                <w:sz w:val="22"/>
                <w:szCs w:val="22"/>
                <w:lang w:val="en-US"/>
              </w:rPr>
              <w:t>tailed</w:t>
            </w:r>
            <w:r w:rsidRPr="00445B43">
              <w:rPr>
                <w:rFonts w:asciiTheme="minorHAnsi" w:eastAsia="Calibri" w:hAnsiTheme="minorHAnsi" w:cstheme="minorHAnsi"/>
                <w:color w:val="000000"/>
                <w:sz w:val="22"/>
                <w:szCs w:val="22"/>
              </w:rPr>
              <w:t>)</w:t>
            </w:r>
          </w:p>
          <w:p w14:paraId="637850D6" w14:textId="19C206E6" w:rsidR="005D63A7" w:rsidRDefault="005D63A7" w:rsidP="00621D78">
            <w:pPr>
              <w:jc w:val="both"/>
              <w:rPr>
                <w:rFonts w:asciiTheme="minorHAnsi" w:eastAsia="Calibri" w:hAnsiTheme="minorHAnsi" w:cstheme="minorHAnsi"/>
                <w:color w:val="000000"/>
                <w:sz w:val="22"/>
                <w:szCs w:val="22"/>
              </w:rPr>
            </w:pPr>
          </w:p>
          <w:p w14:paraId="438F6146" w14:textId="6E938B5A" w:rsidR="005D63A7" w:rsidRDefault="005D63A7" w:rsidP="00621D78">
            <w:pPr>
              <w:jc w:val="both"/>
              <w:rPr>
                <w:rFonts w:asciiTheme="minorHAnsi" w:eastAsia="Calibri" w:hAnsiTheme="minorHAnsi" w:cstheme="minorHAnsi"/>
                <w:color w:val="000000"/>
                <w:sz w:val="22"/>
                <w:szCs w:val="22"/>
              </w:rPr>
            </w:pPr>
          </w:p>
          <w:p w14:paraId="2D55DC21" w14:textId="77777777" w:rsidR="005D63A7" w:rsidRPr="006E0797" w:rsidRDefault="005D63A7" w:rsidP="00621D78">
            <w:pPr>
              <w:jc w:val="both"/>
              <w:rPr>
                <w:rFonts w:asciiTheme="minorHAnsi" w:eastAsia="Calibri" w:hAnsiTheme="minorHAnsi" w:cstheme="minorHAnsi"/>
                <w:color w:val="000000"/>
                <w:sz w:val="22"/>
                <w:szCs w:val="22"/>
              </w:rPr>
            </w:pPr>
          </w:p>
          <w:p w14:paraId="0305E7D6" w14:textId="77777777" w:rsidR="00762A32" w:rsidRDefault="00762A32" w:rsidP="00621D78">
            <w:pPr>
              <w:rPr>
                <w:rFonts w:asciiTheme="minorHAnsi" w:eastAsia="Calibri" w:hAnsiTheme="minorHAnsi" w:cstheme="minorHAnsi"/>
                <w:sz w:val="22"/>
                <w:szCs w:val="22"/>
              </w:rPr>
            </w:pPr>
          </w:p>
          <w:p w14:paraId="413BA691" w14:textId="0E197E10" w:rsidR="00762A32" w:rsidRPr="00445B43" w:rsidRDefault="00762A32" w:rsidP="00621D78">
            <w:pPr>
              <w:rPr>
                <w:rFonts w:asciiTheme="minorHAnsi" w:eastAsia="Calibri" w:hAnsiTheme="minorHAnsi" w:cstheme="minorHAnsi"/>
                <w:sz w:val="22"/>
                <w:szCs w:val="22"/>
              </w:rPr>
            </w:pPr>
          </w:p>
        </w:tc>
      </w:tr>
    </w:tbl>
    <w:p w14:paraId="3E9BB7D6" w14:textId="77777777" w:rsidR="00762A32" w:rsidRPr="006E0797" w:rsidRDefault="00762A32" w:rsidP="00762A32">
      <w:pPr>
        <w:jc w:val="center"/>
        <w:rPr>
          <w:rFonts w:asciiTheme="minorHAnsi" w:eastAsia="Calibri" w:hAnsiTheme="minorHAnsi" w:cstheme="minorHAnsi"/>
          <w:b/>
          <w:bCs/>
          <w:sz w:val="22"/>
          <w:szCs w:val="22"/>
        </w:rPr>
      </w:pPr>
    </w:p>
    <w:p w14:paraId="50FEDA30" w14:textId="25302B06" w:rsidR="0014214C" w:rsidRDefault="0014214C" w:rsidP="00F87EBB">
      <w:pPr>
        <w:spacing w:before="240"/>
        <w:jc w:val="both"/>
        <w:rPr>
          <w:rFonts w:asciiTheme="minorHAnsi" w:eastAsia="Calibri" w:hAnsiTheme="minorHAnsi" w:cstheme="minorHAnsi"/>
          <w:color w:val="000000"/>
          <w:sz w:val="22"/>
          <w:szCs w:val="22"/>
        </w:rPr>
      </w:pPr>
    </w:p>
    <w:p w14:paraId="3A5F5BB9" w14:textId="3BB81DF8" w:rsidR="00F87EBB" w:rsidRPr="00F87EBB" w:rsidRDefault="00F87EBB" w:rsidP="00F87EBB">
      <w:pPr>
        <w:rPr>
          <w:rFonts w:asciiTheme="minorHAnsi" w:eastAsia="Calibri" w:hAnsiTheme="minorHAnsi" w:cstheme="minorHAnsi"/>
          <w:b/>
          <w:bCs/>
          <w:sz w:val="22"/>
          <w:szCs w:val="22"/>
        </w:rPr>
      </w:pPr>
    </w:p>
    <w:p w14:paraId="37C3A1F1" w14:textId="77777777" w:rsidR="00211A46" w:rsidRDefault="00211A46" w:rsidP="0014214C">
      <w:pPr>
        <w:spacing w:before="240"/>
        <w:jc w:val="both"/>
        <w:rPr>
          <w:rFonts w:asciiTheme="minorHAnsi" w:eastAsia="Calibri" w:hAnsiTheme="minorHAnsi" w:cstheme="minorHAnsi"/>
          <w:color w:val="000000"/>
          <w:sz w:val="22"/>
          <w:szCs w:val="22"/>
        </w:rPr>
      </w:pPr>
    </w:p>
    <w:p w14:paraId="6BC045A1" w14:textId="77777777" w:rsidR="00762A32" w:rsidRDefault="00762A32" w:rsidP="001921D6">
      <w:pPr>
        <w:pStyle w:val="a9"/>
        <w:spacing w:before="0" w:after="0"/>
        <w:jc w:val="center"/>
        <w:rPr>
          <w:rFonts w:asciiTheme="minorHAnsi" w:hAnsiTheme="minorHAnsi" w:cstheme="minorHAnsi"/>
          <w:b/>
          <w:i w:val="0"/>
          <w:sz w:val="22"/>
          <w:szCs w:val="22"/>
        </w:rPr>
      </w:pPr>
    </w:p>
    <w:p w14:paraId="7E20B4F3" w14:textId="77777777" w:rsidR="00762A32" w:rsidRDefault="00762A32" w:rsidP="001921D6">
      <w:pPr>
        <w:pStyle w:val="a9"/>
        <w:spacing w:before="0" w:after="0"/>
        <w:jc w:val="center"/>
        <w:rPr>
          <w:rFonts w:asciiTheme="minorHAnsi" w:hAnsiTheme="minorHAnsi" w:cstheme="minorHAnsi"/>
          <w:b/>
          <w:i w:val="0"/>
          <w:sz w:val="22"/>
          <w:szCs w:val="22"/>
        </w:rPr>
      </w:pPr>
    </w:p>
    <w:p w14:paraId="497740FB" w14:textId="77777777" w:rsidR="00762A32" w:rsidRDefault="00762A32" w:rsidP="001921D6">
      <w:pPr>
        <w:pStyle w:val="a9"/>
        <w:spacing w:before="0" w:after="0"/>
        <w:jc w:val="center"/>
        <w:rPr>
          <w:rFonts w:asciiTheme="minorHAnsi" w:hAnsiTheme="minorHAnsi" w:cstheme="minorHAnsi"/>
          <w:b/>
          <w:i w:val="0"/>
          <w:sz w:val="22"/>
          <w:szCs w:val="22"/>
        </w:rPr>
      </w:pPr>
    </w:p>
    <w:p w14:paraId="733BCF5B" w14:textId="77777777" w:rsidR="00762A32" w:rsidRDefault="00762A32" w:rsidP="001921D6">
      <w:pPr>
        <w:pStyle w:val="a9"/>
        <w:spacing w:before="0" w:after="0"/>
        <w:jc w:val="center"/>
        <w:rPr>
          <w:rFonts w:asciiTheme="minorHAnsi" w:hAnsiTheme="minorHAnsi" w:cstheme="minorHAnsi"/>
          <w:b/>
          <w:i w:val="0"/>
          <w:sz w:val="22"/>
          <w:szCs w:val="22"/>
        </w:rPr>
      </w:pPr>
    </w:p>
    <w:p w14:paraId="7B42D422" w14:textId="77777777" w:rsidR="00762A32" w:rsidRDefault="00762A32" w:rsidP="001921D6">
      <w:pPr>
        <w:pStyle w:val="a9"/>
        <w:spacing w:before="0" w:after="0"/>
        <w:jc w:val="center"/>
        <w:rPr>
          <w:rFonts w:asciiTheme="minorHAnsi" w:hAnsiTheme="minorHAnsi" w:cstheme="minorHAnsi"/>
          <w:b/>
          <w:i w:val="0"/>
          <w:sz w:val="22"/>
          <w:szCs w:val="22"/>
        </w:rPr>
      </w:pPr>
    </w:p>
    <w:p w14:paraId="6B919620" w14:textId="77777777" w:rsidR="00762A32" w:rsidRDefault="00762A32" w:rsidP="001921D6">
      <w:pPr>
        <w:pStyle w:val="a9"/>
        <w:spacing w:before="0" w:after="0"/>
        <w:jc w:val="center"/>
        <w:rPr>
          <w:rFonts w:asciiTheme="minorHAnsi" w:hAnsiTheme="minorHAnsi" w:cstheme="minorHAnsi"/>
          <w:b/>
          <w:i w:val="0"/>
          <w:sz w:val="22"/>
          <w:szCs w:val="22"/>
        </w:rPr>
      </w:pPr>
    </w:p>
    <w:p w14:paraId="6C7C623F" w14:textId="77777777" w:rsidR="00762A32" w:rsidRDefault="00762A32" w:rsidP="001921D6">
      <w:pPr>
        <w:pStyle w:val="a9"/>
        <w:spacing w:before="0" w:after="0"/>
        <w:jc w:val="center"/>
        <w:rPr>
          <w:rFonts w:asciiTheme="minorHAnsi" w:hAnsiTheme="minorHAnsi" w:cstheme="minorHAnsi"/>
          <w:b/>
          <w:i w:val="0"/>
          <w:sz w:val="22"/>
          <w:szCs w:val="22"/>
        </w:rPr>
      </w:pPr>
    </w:p>
    <w:p w14:paraId="62B91473" w14:textId="77777777" w:rsidR="00762A32" w:rsidRDefault="00762A32" w:rsidP="001921D6">
      <w:pPr>
        <w:pStyle w:val="a9"/>
        <w:spacing w:before="0" w:after="0"/>
        <w:jc w:val="center"/>
        <w:rPr>
          <w:rFonts w:asciiTheme="minorHAnsi" w:hAnsiTheme="minorHAnsi" w:cstheme="minorHAnsi"/>
          <w:b/>
          <w:i w:val="0"/>
          <w:sz w:val="22"/>
          <w:szCs w:val="22"/>
        </w:rPr>
      </w:pPr>
    </w:p>
    <w:p w14:paraId="00E2C174" w14:textId="77777777" w:rsidR="00762A32" w:rsidRDefault="00762A32" w:rsidP="001921D6">
      <w:pPr>
        <w:pStyle w:val="a9"/>
        <w:spacing w:before="0" w:after="0"/>
        <w:jc w:val="center"/>
        <w:rPr>
          <w:rFonts w:asciiTheme="minorHAnsi" w:hAnsiTheme="minorHAnsi" w:cstheme="minorHAnsi"/>
          <w:b/>
          <w:i w:val="0"/>
          <w:sz w:val="22"/>
          <w:szCs w:val="22"/>
        </w:rPr>
      </w:pPr>
    </w:p>
    <w:p w14:paraId="02F948A2" w14:textId="77777777" w:rsidR="00762A32" w:rsidRDefault="00762A32" w:rsidP="001921D6">
      <w:pPr>
        <w:pStyle w:val="a9"/>
        <w:spacing w:before="0" w:after="0"/>
        <w:jc w:val="center"/>
        <w:rPr>
          <w:rFonts w:asciiTheme="minorHAnsi" w:hAnsiTheme="minorHAnsi" w:cstheme="minorHAnsi"/>
          <w:b/>
          <w:i w:val="0"/>
          <w:sz w:val="22"/>
          <w:szCs w:val="22"/>
        </w:rPr>
      </w:pPr>
    </w:p>
    <w:p w14:paraId="09A4735E" w14:textId="77777777" w:rsidR="00762A32" w:rsidRDefault="00762A32" w:rsidP="001921D6">
      <w:pPr>
        <w:pStyle w:val="a9"/>
        <w:spacing w:before="0" w:after="0"/>
        <w:jc w:val="center"/>
        <w:rPr>
          <w:rFonts w:asciiTheme="minorHAnsi" w:hAnsiTheme="minorHAnsi" w:cstheme="minorHAnsi"/>
          <w:b/>
          <w:i w:val="0"/>
          <w:sz w:val="22"/>
          <w:szCs w:val="22"/>
        </w:rPr>
      </w:pPr>
    </w:p>
    <w:p w14:paraId="33ABA387" w14:textId="77777777" w:rsidR="00762A32" w:rsidRDefault="00762A32" w:rsidP="001921D6">
      <w:pPr>
        <w:pStyle w:val="a9"/>
        <w:spacing w:before="0" w:after="0"/>
        <w:jc w:val="center"/>
        <w:rPr>
          <w:rFonts w:asciiTheme="minorHAnsi" w:hAnsiTheme="minorHAnsi" w:cstheme="minorHAnsi"/>
          <w:b/>
          <w:i w:val="0"/>
          <w:sz w:val="22"/>
          <w:szCs w:val="22"/>
        </w:rPr>
      </w:pPr>
    </w:p>
    <w:p w14:paraId="466B9184" w14:textId="77777777" w:rsidR="00762A32" w:rsidRDefault="00762A32" w:rsidP="001921D6">
      <w:pPr>
        <w:pStyle w:val="a9"/>
        <w:spacing w:before="0" w:after="0"/>
        <w:jc w:val="center"/>
        <w:rPr>
          <w:rFonts w:asciiTheme="minorHAnsi" w:hAnsiTheme="minorHAnsi" w:cstheme="minorHAnsi"/>
          <w:b/>
          <w:i w:val="0"/>
          <w:sz w:val="22"/>
          <w:szCs w:val="22"/>
        </w:rPr>
      </w:pPr>
    </w:p>
    <w:p w14:paraId="342DD3BC" w14:textId="77777777" w:rsidR="00762A32" w:rsidRDefault="00762A32" w:rsidP="001921D6">
      <w:pPr>
        <w:pStyle w:val="a9"/>
        <w:spacing w:before="0" w:after="0"/>
        <w:jc w:val="center"/>
        <w:rPr>
          <w:rFonts w:asciiTheme="minorHAnsi" w:hAnsiTheme="minorHAnsi" w:cstheme="minorHAnsi"/>
          <w:b/>
          <w:i w:val="0"/>
          <w:sz w:val="22"/>
          <w:szCs w:val="22"/>
        </w:rPr>
      </w:pPr>
    </w:p>
    <w:p w14:paraId="47B91F3E" w14:textId="77777777" w:rsidR="00762A32" w:rsidRDefault="00762A32" w:rsidP="001921D6">
      <w:pPr>
        <w:pStyle w:val="a9"/>
        <w:spacing w:before="0" w:after="0"/>
        <w:jc w:val="center"/>
        <w:rPr>
          <w:rFonts w:asciiTheme="minorHAnsi" w:hAnsiTheme="minorHAnsi" w:cstheme="minorHAnsi"/>
          <w:b/>
          <w:i w:val="0"/>
          <w:sz w:val="22"/>
          <w:szCs w:val="22"/>
        </w:rPr>
      </w:pPr>
    </w:p>
    <w:p w14:paraId="598C0304" w14:textId="77777777" w:rsidR="00762A32" w:rsidRDefault="00762A32" w:rsidP="001921D6">
      <w:pPr>
        <w:pStyle w:val="a9"/>
        <w:spacing w:before="0" w:after="0"/>
        <w:jc w:val="center"/>
        <w:rPr>
          <w:rFonts w:asciiTheme="minorHAnsi" w:hAnsiTheme="minorHAnsi" w:cstheme="minorHAnsi"/>
          <w:b/>
          <w:i w:val="0"/>
          <w:sz w:val="22"/>
          <w:szCs w:val="22"/>
        </w:rPr>
      </w:pPr>
    </w:p>
    <w:p w14:paraId="5909C738" w14:textId="77777777" w:rsidR="00762A32" w:rsidRDefault="00762A32" w:rsidP="001921D6">
      <w:pPr>
        <w:pStyle w:val="a9"/>
        <w:spacing w:before="0" w:after="0"/>
        <w:jc w:val="center"/>
        <w:rPr>
          <w:rFonts w:asciiTheme="minorHAnsi" w:hAnsiTheme="minorHAnsi" w:cstheme="minorHAnsi"/>
          <w:b/>
          <w:i w:val="0"/>
          <w:sz w:val="22"/>
          <w:szCs w:val="22"/>
        </w:rPr>
      </w:pPr>
    </w:p>
    <w:p w14:paraId="3235E625" w14:textId="77777777" w:rsidR="00762A32" w:rsidRDefault="00762A32" w:rsidP="001921D6">
      <w:pPr>
        <w:pStyle w:val="a9"/>
        <w:spacing w:before="0" w:after="0"/>
        <w:jc w:val="center"/>
        <w:rPr>
          <w:rFonts w:asciiTheme="minorHAnsi" w:hAnsiTheme="minorHAnsi" w:cstheme="minorHAnsi"/>
          <w:b/>
          <w:i w:val="0"/>
          <w:sz w:val="22"/>
          <w:szCs w:val="22"/>
        </w:rPr>
      </w:pPr>
    </w:p>
    <w:p w14:paraId="7AD2FA9F" w14:textId="77777777" w:rsidR="00762A32" w:rsidRDefault="00762A32" w:rsidP="001921D6">
      <w:pPr>
        <w:pStyle w:val="a9"/>
        <w:spacing w:before="0" w:after="0"/>
        <w:jc w:val="center"/>
        <w:rPr>
          <w:rFonts w:asciiTheme="minorHAnsi" w:hAnsiTheme="minorHAnsi" w:cstheme="minorHAnsi"/>
          <w:b/>
          <w:i w:val="0"/>
          <w:sz w:val="22"/>
          <w:szCs w:val="22"/>
        </w:rPr>
      </w:pPr>
    </w:p>
    <w:p w14:paraId="25B296C6" w14:textId="77777777" w:rsidR="00762A32" w:rsidRDefault="00762A32" w:rsidP="001921D6">
      <w:pPr>
        <w:pStyle w:val="a9"/>
        <w:spacing w:before="0" w:after="0"/>
        <w:jc w:val="center"/>
        <w:rPr>
          <w:rFonts w:asciiTheme="minorHAnsi" w:hAnsiTheme="minorHAnsi" w:cstheme="minorHAnsi"/>
          <w:b/>
          <w:i w:val="0"/>
          <w:sz w:val="22"/>
          <w:szCs w:val="22"/>
        </w:rPr>
      </w:pPr>
    </w:p>
    <w:p w14:paraId="239E61C5" w14:textId="77777777" w:rsidR="00762A32" w:rsidRDefault="00762A32" w:rsidP="001921D6">
      <w:pPr>
        <w:pStyle w:val="a9"/>
        <w:spacing w:before="0" w:after="0"/>
        <w:jc w:val="center"/>
        <w:rPr>
          <w:rFonts w:asciiTheme="minorHAnsi" w:hAnsiTheme="minorHAnsi" w:cstheme="minorHAnsi"/>
          <w:b/>
          <w:i w:val="0"/>
          <w:sz w:val="22"/>
          <w:szCs w:val="22"/>
        </w:rPr>
      </w:pPr>
    </w:p>
    <w:p w14:paraId="122EDE3C" w14:textId="4F4EF874" w:rsidR="00211A46" w:rsidRPr="00053828" w:rsidRDefault="001921D6" w:rsidP="001921D6">
      <w:pPr>
        <w:pStyle w:val="a9"/>
        <w:spacing w:before="0" w:after="0"/>
        <w:jc w:val="center"/>
        <w:rPr>
          <w:rFonts w:asciiTheme="minorHAnsi" w:hAnsiTheme="minorHAnsi" w:cstheme="minorHAnsi"/>
          <w:bCs/>
          <w:i w:val="0"/>
          <w:sz w:val="22"/>
          <w:szCs w:val="22"/>
        </w:rPr>
      </w:pPr>
      <w:r w:rsidRPr="00053828">
        <w:rPr>
          <w:rFonts w:asciiTheme="minorHAnsi" w:hAnsiTheme="minorHAnsi" w:cstheme="minorHAnsi"/>
          <w:bCs/>
          <w:i w:val="0"/>
          <w:sz w:val="22"/>
          <w:szCs w:val="22"/>
        </w:rPr>
        <w:lastRenderedPageBreak/>
        <w:t xml:space="preserve">Πίνακας </w:t>
      </w:r>
      <w:r w:rsidR="004309A3" w:rsidRPr="00053828">
        <w:rPr>
          <w:rFonts w:asciiTheme="minorHAnsi" w:hAnsiTheme="minorHAnsi" w:cstheme="minorHAnsi"/>
          <w:bCs/>
          <w:i w:val="0"/>
          <w:sz w:val="22"/>
          <w:szCs w:val="22"/>
        </w:rPr>
        <w:t>3</w:t>
      </w:r>
      <w:r w:rsidR="0075548A" w:rsidRPr="00053828">
        <w:rPr>
          <w:rFonts w:asciiTheme="minorHAnsi" w:hAnsiTheme="minorHAnsi" w:cstheme="minorHAnsi"/>
          <w:bCs/>
          <w:i w:val="0"/>
          <w:sz w:val="22"/>
          <w:szCs w:val="22"/>
        </w:rPr>
        <w:t xml:space="preserve">: </w:t>
      </w:r>
      <w:r w:rsidRPr="00053828">
        <w:rPr>
          <w:rFonts w:asciiTheme="minorHAnsi" w:hAnsiTheme="minorHAnsi" w:cstheme="minorHAnsi"/>
          <w:bCs/>
          <w:i w:val="0"/>
          <w:sz w:val="22"/>
          <w:szCs w:val="22"/>
        </w:rPr>
        <w:t>Σύγκριση μοντέλων για τη διερεύνηση της εγκυρότητας της εννοιολογικής κατασκευής</w:t>
      </w:r>
    </w:p>
    <w:p w14:paraId="266255D0" w14:textId="77777777" w:rsidR="001921D6" w:rsidRPr="001921D6" w:rsidRDefault="001921D6" w:rsidP="001921D6">
      <w:pPr>
        <w:pStyle w:val="a9"/>
        <w:spacing w:before="0" w:after="0"/>
        <w:jc w:val="center"/>
        <w:rPr>
          <w:rFonts w:asciiTheme="minorHAnsi" w:hAnsiTheme="minorHAnsi" w:cstheme="minorHAnsi"/>
          <w:b/>
          <w:i w:val="0"/>
          <w:sz w:val="22"/>
          <w:szCs w:val="22"/>
        </w:rPr>
      </w:pPr>
    </w:p>
    <w:tbl>
      <w:tblPr>
        <w:tblW w:w="5000" w:type="pct"/>
        <w:jc w:val="center"/>
        <w:tblBorders>
          <w:top w:val="single" w:sz="8" w:space="0" w:color="4F81BD"/>
          <w:bottom w:val="single" w:sz="8" w:space="0" w:color="4F81BD"/>
        </w:tblBorders>
        <w:shd w:val="clear" w:color="auto" w:fill="FFFFFF"/>
        <w:tblLook w:val="04A0" w:firstRow="1" w:lastRow="0" w:firstColumn="1" w:lastColumn="0" w:noHBand="0" w:noVBand="1"/>
      </w:tblPr>
      <w:tblGrid>
        <w:gridCol w:w="1023"/>
        <w:gridCol w:w="1007"/>
        <w:gridCol w:w="717"/>
        <w:gridCol w:w="717"/>
        <w:gridCol w:w="717"/>
        <w:gridCol w:w="717"/>
        <w:gridCol w:w="717"/>
        <w:gridCol w:w="717"/>
        <w:gridCol w:w="717"/>
        <w:gridCol w:w="771"/>
        <w:gridCol w:w="1036"/>
        <w:gridCol w:w="762"/>
        <w:gridCol w:w="889"/>
        <w:gridCol w:w="940"/>
        <w:gridCol w:w="940"/>
        <w:gridCol w:w="851"/>
      </w:tblGrid>
      <w:tr w:rsidR="00211A46" w:rsidRPr="006329C2" w14:paraId="597BF224" w14:textId="77777777" w:rsidTr="001921D6">
        <w:trPr>
          <w:trHeight w:val="527"/>
          <w:jc w:val="center"/>
        </w:trPr>
        <w:tc>
          <w:tcPr>
            <w:tcW w:w="387" w:type="pct"/>
            <w:tcBorders>
              <w:top w:val="double" w:sz="4" w:space="0" w:color="auto"/>
              <w:bottom w:val="single" w:sz="4" w:space="0" w:color="auto"/>
            </w:tcBorders>
            <w:shd w:val="clear" w:color="auto" w:fill="FFFFFF"/>
            <w:vAlign w:val="center"/>
          </w:tcPr>
          <w:p w14:paraId="538F4271"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rPr>
            </w:pPr>
            <w:r w:rsidRPr="006329C2">
              <w:rPr>
                <w:rFonts w:asciiTheme="minorHAnsi" w:eastAsia="Calibri" w:hAnsiTheme="minorHAnsi" w:cstheme="minorHAnsi"/>
                <w:bCs/>
                <w:sz w:val="22"/>
                <w:szCs w:val="22"/>
              </w:rPr>
              <w:t>Μοντέλο</w:t>
            </w:r>
          </w:p>
        </w:tc>
        <w:tc>
          <w:tcPr>
            <w:tcW w:w="386" w:type="pct"/>
            <w:tcBorders>
              <w:top w:val="double" w:sz="4" w:space="0" w:color="auto"/>
              <w:bottom w:val="single" w:sz="4" w:space="0" w:color="auto"/>
            </w:tcBorders>
            <w:shd w:val="clear" w:color="auto" w:fill="FFFFFF"/>
            <w:vAlign w:val="center"/>
          </w:tcPr>
          <w:p w14:paraId="39F4CE21"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vertAlign w:val="superscript"/>
                <w:lang w:val="en-US"/>
              </w:rPr>
            </w:pPr>
            <w:r w:rsidRPr="006329C2">
              <w:rPr>
                <w:rFonts w:asciiTheme="minorHAnsi" w:eastAsia="Calibri" w:hAnsiTheme="minorHAnsi" w:cstheme="minorHAnsi"/>
                <w:bCs/>
                <w:i/>
                <w:sz w:val="22"/>
                <w:szCs w:val="22"/>
                <w:lang w:val="en-US"/>
              </w:rPr>
              <w:t>X</w:t>
            </w:r>
            <w:r w:rsidRPr="006329C2">
              <w:rPr>
                <w:rFonts w:asciiTheme="minorHAnsi" w:eastAsia="Calibri" w:hAnsiTheme="minorHAnsi" w:cstheme="minorHAnsi"/>
                <w:bCs/>
                <w:sz w:val="22"/>
                <w:szCs w:val="22"/>
                <w:vertAlign w:val="superscript"/>
                <w:lang w:val="en-US"/>
              </w:rPr>
              <w:t>2</w:t>
            </w:r>
          </w:p>
        </w:tc>
        <w:tc>
          <w:tcPr>
            <w:tcW w:w="268" w:type="pct"/>
            <w:tcBorders>
              <w:top w:val="double" w:sz="4" w:space="0" w:color="auto"/>
              <w:bottom w:val="single" w:sz="4" w:space="0" w:color="auto"/>
            </w:tcBorders>
            <w:shd w:val="clear" w:color="auto" w:fill="FFFFFF"/>
            <w:vAlign w:val="center"/>
          </w:tcPr>
          <w:p w14:paraId="7F94A319"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lang w:val="en-US"/>
              </w:rPr>
            </w:pPr>
            <w:r w:rsidRPr="006329C2">
              <w:rPr>
                <w:rFonts w:asciiTheme="minorHAnsi" w:eastAsia="Calibri" w:hAnsiTheme="minorHAnsi" w:cstheme="minorHAnsi"/>
                <w:bCs/>
                <w:i/>
                <w:sz w:val="22"/>
                <w:szCs w:val="22"/>
                <w:lang w:val="en-US"/>
              </w:rPr>
              <w:t>X</w:t>
            </w:r>
            <w:r w:rsidRPr="006329C2">
              <w:rPr>
                <w:rFonts w:asciiTheme="minorHAnsi" w:eastAsia="Calibri" w:hAnsiTheme="minorHAnsi" w:cstheme="minorHAnsi"/>
                <w:bCs/>
                <w:sz w:val="22"/>
                <w:szCs w:val="22"/>
                <w:vertAlign w:val="superscript"/>
                <w:lang w:val="en-US"/>
              </w:rPr>
              <w:t>2</w:t>
            </w:r>
            <w:r w:rsidRPr="006329C2">
              <w:rPr>
                <w:rFonts w:asciiTheme="minorHAnsi" w:eastAsia="Calibri" w:hAnsiTheme="minorHAnsi" w:cstheme="minorHAnsi"/>
                <w:bCs/>
                <w:sz w:val="22"/>
                <w:szCs w:val="22"/>
                <w:lang w:val="en-US"/>
              </w:rPr>
              <w:t>/</w:t>
            </w:r>
            <w:r w:rsidRPr="006329C2">
              <w:rPr>
                <w:rFonts w:asciiTheme="minorHAnsi" w:eastAsia="Calibri" w:hAnsiTheme="minorHAnsi" w:cstheme="minorHAnsi"/>
                <w:bCs/>
                <w:i/>
                <w:sz w:val="22"/>
                <w:szCs w:val="22"/>
                <w:lang w:val="en-US"/>
              </w:rPr>
              <w:t>df</w:t>
            </w:r>
          </w:p>
        </w:tc>
        <w:tc>
          <w:tcPr>
            <w:tcW w:w="267" w:type="pct"/>
            <w:tcBorders>
              <w:top w:val="double" w:sz="4" w:space="0" w:color="auto"/>
              <w:bottom w:val="single" w:sz="4" w:space="0" w:color="auto"/>
            </w:tcBorders>
            <w:shd w:val="clear" w:color="auto" w:fill="FFFFFF"/>
            <w:vAlign w:val="center"/>
          </w:tcPr>
          <w:p w14:paraId="0441F17E"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lang w:val="en-US"/>
              </w:rPr>
            </w:pPr>
            <w:proofErr w:type="spellStart"/>
            <w:r w:rsidRPr="006329C2">
              <w:rPr>
                <w:rFonts w:asciiTheme="minorHAnsi" w:eastAsia="Calibri" w:hAnsiTheme="minorHAnsi" w:cstheme="minorHAnsi"/>
                <w:bCs/>
                <w:sz w:val="22"/>
                <w:szCs w:val="22"/>
                <w:lang w:val="en-US"/>
              </w:rPr>
              <w:t>NFI</w:t>
            </w:r>
            <w:r w:rsidRPr="006329C2">
              <w:rPr>
                <w:rFonts w:asciiTheme="minorHAnsi" w:eastAsia="Calibri" w:hAnsiTheme="minorHAnsi" w:cstheme="minorHAnsi"/>
                <w:bCs/>
                <w:sz w:val="22"/>
                <w:szCs w:val="22"/>
                <w:vertAlign w:val="superscript"/>
                <w:lang w:val="en-US"/>
              </w:rPr>
              <w:t>a</w:t>
            </w:r>
            <w:proofErr w:type="spellEnd"/>
          </w:p>
        </w:tc>
        <w:tc>
          <w:tcPr>
            <w:tcW w:w="267" w:type="pct"/>
            <w:tcBorders>
              <w:top w:val="double" w:sz="4" w:space="0" w:color="auto"/>
              <w:bottom w:val="single" w:sz="4" w:space="0" w:color="auto"/>
            </w:tcBorders>
            <w:shd w:val="clear" w:color="auto" w:fill="FFFFFF"/>
            <w:vAlign w:val="center"/>
          </w:tcPr>
          <w:p w14:paraId="70DA288A"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lang w:val="en-US"/>
              </w:rPr>
            </w:pPr>
            <w:proofErr w:type="spellStart"/>
            <w:r w:rsidRPr="006329C2">
              <w:rPr>
                <w:rFonts w:asciiTheme="minorHAnsi" w:eastAsia="Calibri" w:hAnsiTheme="minorHAnsi" w:cstheme="minorHAnsi"/>
                <w:bCs/>
                <w:sz w:val="22"/>
                <w:szCs w:val="22"/>
                <w:lang w:val="en-US"/>
              </w:rPr>
              <w:t>RFI</w:t>
            </w:r>
            <w:r w:rsidRPr="006329C2">
              <w:rPr>
                <w:rFonts w:asciiTheme="minorHAnsi" w:eastAsia="Calibri" w:hAnsiTheme="minorHAnsi" w:cstheme="minorHAnsi"/>
                <w:bCs/>
                <w:sz w:val="22"/>
                <w:szCs w:val="22"/>
                <w:vertAlign w:val="superscript"/>
                <w:lang w:val="en-US"/>
              </w:rPr>
              <w:t>a</w:t>
            </w:r>
            <w:proofErr w:type="spellEnd"/>
          </w:p>
        </w:tc>
        <w:tc>
          <w:tcPr>
            <w:tcW w:w="267" w:type="pct"/>
            <w:tcBorders>
              <w:top w:val="double" w:sz="4" w:space="0" w:color="auto"/>
              <w:bottom w:val="single" w:sz="4" w:space="0" w:color="auto"/>
            </w:tcBorders>
            <w:shd w:val="clear" w:color="auto" w:fill="FFFFFF"/>
            <w:vAlign w:val="center"/>
          </w:tcPr>
          <w:p w14:paraId="7C52380E"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lang w:val="en-US"/>
              </w:rPr>
            </w:pPr>
            <w:proofErr w:type="spellStart"/>
            <w:r w:rsidRPr="006329C2">
              <w:rPr>
                <w:rFonts w:asciiTheme="minorHAnsi" w:eastAsia="Calibri" w:hAnsiTheme="minorHAnsi" w:cstheme="minorHAnsi"/>
                <w:bCs/>
                <w:sz w:val="22"/>
                <w:szCs w:val="22"/>
                <w:lang w:val="en-US"/>
              </w:rPr>
              <w:t>IFI</w:t>
            </w:r>
            <w:r w:rsidRPr="006329C2">
              <w:rPr>
                <w:rFonts w:asciiTheme="minorHAnsi" w:eastAsia="Calibri" w:hAnsiTheme="minorHAnsi" w:cstheme="minorHAnsi"/>
                <w:bCs/>
                <w:sz w:val="22"/>
                <w:szCs w:val="22"/>
                <w:vertAlign w:val="superscript"/>
                <w:lang w:val="en-US"/>
              </w:rPr>
              <w:t>a</w:t>
            </w:r>
            <w:proofErr w:type="spellEnd"/>
          </w:p>
        </w:tc>
        <w:tc>
          <w:tcPr>
            <w:tcW w:w="267" w:type="pct"/>
            <w:tcBorders>
              <w:top w:val="double" w:sz="4" w:space="0" w:color="auto"/>
              <w:bottom w:val="single" w:sz="4" w:space="0" w:color="auto"/>
            </w:tcBorders>
            <w:shd w:val="clear" w:color="auto" w:fill="FFFFFF"/>
            <w:vAlign w:val="center"/>
          </w:tcPr>
          <w:p w14:paraId="793D7016"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lang w:val="en-US"/>
              </w:rPr>
            </w:pPr>
            <w:proofErr w:type="spellStart"/>
            <w:r w:rsidRPr="006329C2">
              <w:rPr>
                <w:rFonts w:asciiTheme="minorHAnsi" w:eastAsia="Calibri" w:hAnsiTheme="minorHAnsi" w:cstheme="minorHAnsi"/>
                <w:bCs/>
                <w:sz w:val="22"/>
                <w:szCs w:val="22"/>
                <w:lang w:val="en-US"/>
              </w:rPr>
              <w:t>TLI</w:t>
            </w:r>
            <w:r w:rsidRPr="006329C2">
              <w:rPr>
                <w:rFonts w:asciiTheme="minorHAnsi" w:eastAsia="Calibri" w:hAnsiTheme="minorHAnsi" w:cstheme="minorHAnsi"/>
                <w:bCs/>
                <w:sz w:val="22"/>
                <w:szCs w:val="22"/>
                <w:vertAlign w:val="superscript"/>
                <w:lang w:val="en-US"/>
              </w:rPr>
              <w:t>a</w:t>
            </w:r>
            <w:proofErr w:type="spellEnd"/>
          </w:p>
        </w:tc>
        <w:tc>
          <w:tcPr>
            <w:tcW w:w="267" w:type="pct"/>
            <w:tcBorders>
              <w:top w:val="double" w:sz="4" w:space="0" w:color="auto"/>
              <w:bottom w:val="single" w:sz="4" w:space="0" w:color="auto"/>
            </w:tcBorders>
            <w:shd w:val="clear" w:color="auto" w:fill="FFFFFF"/>
            <w:vAlign w:val="center"/>
          </w:tcPr>
          <w:p w14:paraId="4501F7B3"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lang w:val="en-US"/>
              </w:rPr>
            </w:pPr>
            <w:proofErr w:type="spellStart"/>
            <w:r w:rsidRPr="006329C2">
              <w:rPr>
                <w:rFonts w:asciiTheme="minorHAnsi" w:eastAsia="Calibri" w:hAnsiTheme="minorHAnsi" w:cstheme="minorHAnsi"/>
                <w:bCs/>
                <w:sz w:val="22"/>
                <w:szCs w:val="22"/>
                <w:lang w:val="en-US"/>
              </w:rPr>
              <w:t>CFI</w:t>
            </w:r>
            <w:r w:rsidRPr="006329C2">
              <w:rPr>
                <w:rFonts w:asciiTheme="minorHAnsi" w:eastAsia="Calibri" w:hAnsiTheme="minorHAnsi" w:cstheme="minorHAnsi"/>
                <w:bCs/>
                <w:sz w:val="22"/>
                <w:szCs w:val="22"/>
                <w:vertAlign w:val="superscript"/>
                <w:lang w:val="en-US"/>
              </w:rPr>
              <w:t>a</w:t>
            </w:r>
            <w:proofErr w:type="spellEnd"/>
          </w:p>
        </w:tc>
        <w:tc>
          <w:tcPr>
            <w:tcW w:w="267" w:type="pct"/>
            <w:tcBorders>
              <w:top w:val="double" w:sz="4" w:space="0" w:color="auto"/>
              <w:bottom w:val="single" w:sz="4" w:space="0" w:color="auto"/>
            </w:tcBorders>
            <w:shd w:val="clear" w:color="auto" w:fill="FFFFFF"/>
            <w:vAlign w:val="center"/>
          </w:tcPr>
          <w:p w14:paraId="778863AB"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lang w:val="en-US"/>
              </w:rPr>
            </w:pPr>
            <w:proofErr w:type="spellStart"/>
            <w:r w:rsidRPr="006329C2">
              <w:rPr>
                <w:rFonts w:asciiTheme="minorHAnsi" w:eastAsia="Calibri" w:hAnsiTheme="minorHAnsi" w:cstheme="minorHAnsi"/>
                <w:bCs/>
                <w:sz w:val="22"/>
                <w:szCs w:val="22"/>
                <w:lang w:val="en-US"/>
              </w:rPr>
              <w:t>GFI</w:t>
            </w:r>
            <w:r w:rsidRPr="006329C2">
              <w:rPr>
                <w:rFonts w:asciiTheme="minorHAnsi" w:eastAsia="Calibri" w:hAnsiTheme="minorHAnsi" w:cstheme="minorHAnsi"/>
                <w:bCs/>
                <w:sz w:val="22"/>
                <w:szCs w:val="22"/>
                <w:vertAlign w:val="superscript"/>
                <w:lang w:val="en-US"/>
              </w:rPr>
              <w:t>a</w:t>
            </w:r>
            <w:proofErr w:type="spellEnd"/>
          </w:p>
        </w:tc>
        <w:tc>
          <w:tcPr>
            <w:tcW w:w="300" w:type="pct"/>
            <w:tcBorders>
              <w:top w:val="double" w:sz="4" w:space="0" w:color="auto"/>
              <w:bottom w:val="single" w:sz="4" w:space="0" w:color="auto"/>
            </w:tcBorders>
            <w:shd w:val="clear" w:color="auto" w:fill="FFFFFF"/>
            <w:vAlign w:val="center"/>
          </w:tcPr>
          <w:p w14:paraId="46648890"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lang w:val="en-US"/>
              </w:rPr>
            </w:pPr>
            <w:proofErr w:type="spellStart"/>
            <w:r w:rsidRPr="006329C2">
              <w:rPr>
                <w:rFonts w:asciiTheme="minorHAnsi" w:eastAsia="Calibri" w:hAnsiTheme="minorHAnsi" w:cstheme="minorHAnsi"/>
                <w:bCs/>
                <w:sz w:val="22"/>
                <w:szCs w:val="22"/>
                <w:lang w:val="en-US"/>
              </w:rPr>
              <w:t>AGFI</w:t>
            </w:r>
            <w:r w:rsidRPr="006329C2">
              <w:rPr>
                <w:rFonts w:asciiTheme="minorHAnsi" w:eastAsia="Calibri" w:hAnsiTheme="minorHAnsi" w:cstheme="minorHAnsi"/>
                <w:bCs/>
                <w:sz w:val="22"/>
                <w:szCs w:val="22"/>
                <w:vertAlign w:val="superscript"/>
                <w:lang w:val="en-US"/>
              </w:rPr>
              <w:t>a</w:t>
            </w:r>
            <w:proofErr w:type="spellEnd"/>
          </w:p>
        </w:tc>
        <w:tc>
          <w:tcPr>
            <w:tcW w:w="397" w:type="pct"/>
            <w:tcBorders>
              <w:top w:val="double" w:sz="4" w:space="0" w:color="auto"/>
              <w:bottom w:val="single" w:sz="4" w:space="0" w:color="auto"/>
            </w:tcBorders>
            <w:shd w:val="clear" w:color="auto" w:fill="FFFFFF"/>
            <w:vAlign w:val="center"/>
          </w:tcPr>
          <w:p w14:paraId="19D7D674"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rPr>
            </w:pPr>
            <w:proofErr w:type="spellStart"/>
            <w:r w:rsidRPr="006329C2">
              <w:rPr>
                <w:rFonts w:asciiTheme="minorHAnsi" w:eastAsia="Calibri" w:hAnsiTheme="minorHAnsi" w:cstheme="minorHAnsi"/>
                <w:bCs/>
                <w:sz w:val="22"/>
                <w:szCs w:val="22"/>
                <w:lang w:val="en-US"/>
              </w:rPr>
              <w:t>RMSEA</w:t>
            </w:r>
            <w:r w:rsidRPr="006329C2">
              <w:rPr>
                <w:rFonts w:asciiTheme="minorHAnsi" w:eastAsia="Calibri" w:hAnsiTheme="minorHAnsi" w:cstheme="minorHAnsi"/>
                <w:bCs/>
                <w:sz w:val="22"/>
                <w:szCs w:val="22"/>
                <w:vertAlign w:val="superscript"/>
                <w:lang w:val="en-US"/>
              </w:rPr>
              <w:t>b</w:t>
            </w:r>
            <w:proofErr w:type="spellEnd"/>
          </w:p>
          <w:p w14:paraId="084AE754"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lang w:val="en-US"/>
              </w:rPr>
            </w:pPr>
            <w:r w:rsidRPr="006329C2">
              <w:rPr>
                <w:rFonts w:asciiTheme="minorHAnsi" w:eastAsia="Calibri" w:hAnsiTheme="minorHAnsi" w:cstheme="minorHAnsi"/>
                <w:bCs/>
                <w:sz w:val="22"/>
                <w:szCs w:val="22"/>
                <w:lang w:val="en-US"/>
              </w:rPr>
              <w:t xml:space="preserve"> (90% CI)</w:t>
            </w:r>
          </w:p>
        </w:tc>
        <w:tc>
          <w:tcPr>
            <w:tcW w:w="293" w:type="pct"/>
            <w:tcBorders>
              <w:top w:val="double" w:sz="4" w:space="0" w:color="auto"/>
              <w:bottom w:val="single" w:sz="4" w:space="0" w:color="auto"/>
            </w:tcBorders>
            <w:shd w:val="clear" w:color="auto" w:fill="FFFFFF"/>
            <w:vAlign w:val="center"/>
          </w:tcPr>
          <w:p w14:paraId="3C99240F"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lang w:val="en-US"/>
              </w:rPr>
            </w:pPr>
            <w:proofErr w:type="spellStart"/>
            <w:r w:rsidRPr="006329C2">
              <w:rPr>
                <w:rFonts w:asciiTheme="minorHAnsi" w:eastAsia="Calibri" w:hAnsiTheme="minorHAnsi" w:cstheme="minorHAnsi"/>
                <w:bCs/>
                <w:sz w:val="22"/>
                <w:szCs w:val="22"/>
                <w:lang w:val="en-US"/>
              </w:rPr>
              <w:t>RMR</w:t>
            </w:r>
            <w:r w:rsidRPr="006329C2">
              <w:rPr>
                <w:rFonts w:asciiTheme="minorHAnsi" w:eastAsia="Calibri" w:hAnsiTheme="minorHAnsi" w:cstheme="minorHAnsi"/>
                <w:bCs/>
                <w:sz w:val="22"/>
                <w:szCs w:val="22"/>
                <w:vertAlign w:val="superscript"/>
                <w:lang w:val="en-US"/>
              </w:rPr>
              <w:t>b</w:t>
            </w:r>
            <w:proofErr w:type="spellEnd"/>
          </w:p>
        </w:tc>
        <w:tc>
          <w:tcPr>
            <w:tcW w:w="341" w:type="pct"/>
            <w:tcBorders>
              <w:top w:val="double" w:sz="4" w:space="0" w:color="auto"/>
              <w:bottom w:val="single" w:sz="4" w:space="0" w:color="auto"/>
            </w:tcBorders>
            <w:shd w:val="clear" w:color="auto" w:fill="FFFFFF"/>
            <w:vAlign w:val="center"/>
          </w:tcPr>
          <w:p w14:paraId="5A09232C"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lang w:val="en-US"/>
              </w:rPr>
            </w:pPr>
            <w:proofErr w:type="spellStart"/>
            <w:r w:rsidRPr="006329C2">
              <w:rPr>
                <w:rFonts w:asciiTheme="minorHAnsi" w:eastAsia="Calibri" w:hAnsiTheme="minorHAnsi" w:cstheme="minorHAnsi"/>
                <w:bCs/>
                <w:sz w:val="22"/>
                <w:szCs w:val="22"/>
                <w:lang w:val="en-US"/>
              </w:rPr>
              <w:t>SRMR</w:t>
            </w:r>
            <w:r w:rsidRPr="006329C2">
              <w:rPr>
                <w:rFonts w:asciiTheme="minorHAnsi" w:eastAsia="Calibri" w:hAnsiTheme="minorHAnsi" w:cstheme="minorHAnsi"/>
                <w:bCs/>
                <w:sz w:val="22"/>
                <w:szCs w:val="22"/>
                <w:vertAlign w:val="superscript"/>
                <w:lang w:val="en-US"/>
              </w:rPr>
              <w:t>b</w:t>
            </w:r>
            <w:proofErr w:type="spellEnd"/>
          </w:p>
        </w:tc>
        <w:tc>
          <w:tcPr>
            <w:tcW w:w="352" w:type="pct"/>
            <w:tcBorders>
              <w:top w:val="double" w:sz="4" w:space="0" w:color="auto"/>
              <w:bottom w:val="single" w:sz="4" w:space="0" w:color="auto"/>
            </w:tcBorders>
            <w:shd w:val="clear" w:color="auto" w:fill="FFFFFF"/>
            <w:vAlign w:val="center"/>
          </w:tcPr>
          <w:p w14:paraId="2B973304"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lang w:val="en-US"/>
              </w:rPr>
            </w:pPr>
            <w:r w:rsidRPr="006329C2">
              <w:rPr>
                <w:rFonts w:asciiTheme="minorHAnsi" w:eastAsia="Calibri" w:hAnsiTheme="minorHAnsi" w:cstheme="minorHAnsi"/>
                <w:bCs/>
                <w:sz w:val="22"/>
                <w:szCs w:val="22"/>
              </w:rPr>
              <w:t>AIC</w:t>
            </w:r>
            <w:r w:rsidRPr="006329C2">
              <w:rPr>
                <w:rFonts w:asciiTheme="minorHAnsi" w:eastAsia="Calibri" w:hAnsiTheme="minorHAnsi" w:cstheme="minorHAnsi"/>
                <w:bCs/>
                <w:sz w:val="22"/>
                <w:szCs w:val="22"/>
                <w:vertAlign w:val="superscript"/>
                <w:lang w:val="en-US"/>
              </w:rPr>
              <w:t>b</w:t>
            </w:r>
          </w:p>
        </w:tc>
        <w:tc>
          <w:tcPr>
            <w:tcW w:w="352" w:type="pct"/>
            <w:tcBorders>
              <w:top w:val="double" w:sz="4" w:space="0" w:color="auto"/>
              <w:bottom w:val="single" w:sz="4" w:space="0" w:color="auto"/>
            </w:tcBorders>
            <w:shd w:val="clear" w:color="auto" w:fill="FFFFFF"/>
            <w:vAlign w:val="center"/>
          </w:tcPr>
          <w:p w14:paraId="628CE6BC"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rPr>
            </w:pPr>
            <w:proofErr w:type="spellStart"/>
            <w:r w:rsidRPr="006329C2">
              <w:rPr>
                <w:rFonts w:asciiTheme="minorHAnsi" w:eastAsia="Calibri" w:hAnsiTheme="minorHAnsi" w:cstheme="minorHAnsi"/>
                <w:bCs/>
                <w:sz w:val="22"/>
                <w:szCs w:val="22"/>
                <w:lang w:val="en-US"/>
              </w:rPr>
              <w:t>CAIC</w:t>
            </w:r>
            <w:r w:rsidRPr="006329C2">
              <w:rPr>
                <w:rFonts w:asciiTheme="minorHAnsi" w:eastAsia="Calibri" w:hAnsiTheme="minorHAnsi" w:cstheme="minorHAnsi"/>
                <w:bCs/>
                <w:sz w:val="22"/>
                <w:szCs w:val="22"/>
                <w:vertAlign w:val="superscript"/>
                <w:lang w:val="en-US"/>
              </w:rPr>
              <w:t>b</w:t>
            </w:r>
            <w:proofErr w:type="spellEnd"/>
          </w:p>
        </w:tc>
        <w:tc>
          <w:tcPr>
            <w:tcW w:w="323" w:type="pct"/>
            <w:tcBorders>
              <w:top w:val="double" w:sz="4" w:space="0" w:color="auto"/>
              <w:bottom w:val="single" w:sz="4" w:space="0" w:color="auto"/>
            </w:tcBorders>
            <w:shd w:val="clear" w:color="auto" w:fill="FFFFFF"/>
            <w:vAlign w:val="center"/>
          </w:tcPr>
          <w:p w14:paraId="527CA2AC"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rPr>
            </w:pPr>
            <w:r w:rsidRPr="006329C2">
              <w:rPr>
                <w:rFonts w:asciiTheme="minorHAnsi" w:eastAsia="Calibri" w:hAnsiTheme="minorHAnsi" w:cstheme="minorHAnsi"/>
                <w:bCs/>
                <w:sz w:val="22"/>
                <w:szCs w:val="22"/>
              </w:rPr>
              <w:t>ECVI</w:t>
            </w:r>
            <w:r w:rsidRPr="006329C2">
              <w:rPr>
                <w:rFonts w:asciiTheme="minorHAnsi" w:eastAsia="Calibri" w:hAnsiTheme="minorHAnsi" w:cstheme="minorHAnsi"/>
                <w:bCs/>
                <w:sz w:val="22"/>
                <w:szCs w:val="22"/>
                <w:vertAlign w:val="superscript"/>
                <w:lang w:val="en-US"/>
              </w:rPr>
              <w:t>b</w:t>
            </w:r>
          </w:p>
          <w:p w14:paraId="12797B4D"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rPr>
            </w:pPr>
            <w:r w:rsidRPr="006329C2">
              <w:rPr>
                <w:rFonts w:asciiTheme="minorHAnsi" w:eastAsia="Calibri" w:hAnsiTheme="minorHAnsi" w:cstheme="minorHAnsi"/>
                <w:bCs/>
                <w:sz w:val="22"/>
                <w:szCs w:val="22"/>
              </w:rPr>
              <w:t>(90% CI)</w:t>
            </w:r>
          </w:p>
        </w:tc>
      </w:tr>
      <w:tr w:rsidR="00211A46" w:rsidRPr="006329C2" w14:paraId="7CA8CC12" w14:textId="77777777" w:rsidTr="001921D6">
        <w:trPr>
          <w:trHeight w:val="527"/>
          <w:jc w:val="center"/>
        </w:trPr>
        <w:tc>
          <w:tcPr>
            <w:tcW w:w="387" w:type="pct"/>
            <w:tcBorders>
              <w:top w:val="single" w:sz="4" w:space="0" w:color="auto"/>
              <w:bottom w:val="nil"/>
            </w:tcBorders>
            <w:shd w:val="clear" w:color="auto" w:fill="FFFFFF"/>
            <w:vAlign w:val="center"/>
          </w:tcPr>
          <w:p w14:paraId="03053FA0"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rPr>
            </w:pPr>
            <w:r w:rsidRPr="006329C2">
              <w:rPr>
                <w:rFonts w:asciiTheme="minorHAnsi" w:eastAsia="Calibri" w:hAnsiTheme="minorHAnsi" w:cstheme="minorHAnsi"/>
                <w:bCs/>
                <w:sz w:val="22"/>
                <w:szCs w:val="22"/>
              </w:rPr>
              <w:t>1</w:t>
            </w:r>
          </w:p>
        </w:tc>
        <w:tc>
          <w:tcPr>
            <w:tcW w:w="386" w:type="pct"/>
            <w:tcBorders>
              <w:top w:val="single" w:sz="4" w:space="0" w:color="auto"/>
              <w:left w:val="nil"/>
              <w:bottom w:val="nil"/>
              <w:right w:val="nil"/>
            </w:tcBorders>
            <w:shd w:val="clear" w:color="auto" w:fill="FFFFFF"/>
            <w:vAlign w:val="center"/>
          </w:tcPr>
          <w:p w14:paraId="7B6689DB"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lang w:val="en-US"/>
              </w:rPr>
            </w:pPr>
            <w:r w:rsidRPr="006329C2">
              <w:rPr>
                <w:rFonts w:asciiTheme="minorHAnsi" w:eastAsia="Calibri" w:hAnsiTheme="minorHAnsi" w:cstheme="minorHAnsi"/>
                <w:bCs/>
                <w:sz w:val="22"/>
                <w:szCs w:val="22"/>
                <w:lang w:val="en-US"/>
              </w:rPr>
              <w:t xml:space="preserve">178,015 </w:t>
            </w:r>
            <w:r w:rsidRPr="006329C2">
              <w:rPr>
                <w:rFonts w:asciiTheme="minorHAnsi" w:eastAsia="Calibri" w:hAnsiTheme="minorHAnsi" w:cstheme="minorHAnsi"/>
                <w:bCs/>
                <w:sz w:val="22"/>
                <w:szCs w:val="22"/>
              </w:rPr>
              <w:t>(</w:t>
            </w:r>
            <w:proofErr w:type="spellStart"/>
            <w:r w:rsidRPr="006329C2">
              <w:rPr>
                <w:rFonts w:asciiTheme="minorHAnsi" w:eastAsia="Calibri" w:hAnsiTheme="minorHAnsi" w:cstheme="minorHAnsi"/>
                <w:bCs/>
                <w:i/>
                <w:sz w:val="22"/>
                <w:szCs w:val="22"/>
              </w:rPr>
              <w:t>df</w:t>
            </w:r>
            <w:proofErr w:type="spellEnd"/>
            <w:r w:rsidRPr="006329C2">
              <w:rPr>
                <w:rFonts w:asciiTheme="minorHAnsi" w:eastAsia="Calibri" w:hAnsiTheme="minorHAnsi" w:cstheme="minorHAnsi"/>
                <w:bCs/>
                <w:sz w:val="22"/>
                <w:szCs w:val="22"/>
              </w:rPr>
              <w:t>=</w:t>
            </w:r>
            <w:r w:rsidRPr="006329C2">
              <w:rPr>
                <w:rFonts w:asciiTheme="minorHAnsi" w:hAnsiTheme="minorHAnsi" w:cstheme="minorHAnsi"/>
                <w:sz w:val="22"/>
                <w:szCs w:val="22"/>
              </w:rPr>
              <w:t xml:space="preserve"> </w:t>
            </w:r>
            <w:r w:rsidRPr="006329C2">
              <w:rPr>
                <w:rFonts w:asciiTheme="minorHAnsi" w:eastAsia="Calibri" w:hAnsiTheme="minorHAnsi" w:cstheme="minorHAnsi"/>
                <w:bCs/>
                <w:sz w:val="22"/>
                <w:szCs w:val="22"/>
              </w:rPr>
              <w:t xml:space="preserve">62, </w:t>
            </w:r>
            <w:r w:rsidRPr="006329C2">
              <w:rPr>
                <w:rFonts w:asciiTheme="minorHAnsi" w:eastAsia="Calibri" w:hAnsiTheme="minorHAnsi" w:cstheme="minorHAnsi"/>
                <w:bCs/>
                <w:i/>
                <w:sz w:val="22"/>
                <w:szCs w:val="22"/>
              </w:rPr>
              <w:t>p</w:t>
            </w:r>
            <w:r w:rsidRPr="006329C2">
              <w:rPr>
                <w:rFonts w:asciiTheme="minorHAnsi" w:eastAsia="Calibri" w:hAnsiTheme="minorHAnsi" w:cstheme="minorHAnsi"/>
                <w:bCs/>
                <w:sz w:val="22"/>
                <w:szCs w:val="22"/>
              </w:rPr>
              <w:t>&lt;0,001</w:t>
            </w:r>
          </w:p>
        </w:tc>
        <w:tc>
          <w:tcPr>
            <w:tcW w:w="268" w:type="pct"/>
            <w:tcBorders>
              <w:top w:val="single" w:sz="4" w:space="0" w:color="auto"/>
              <w:bottom w:val="nil"/>
            </w:tcBorders>
            <w:shd w:val="clear" w:color="auto" w:fill="FFFFFF"/>
            <w:vAlign w:val="center"/>
          </w:tcPr>
          <w:p w14:paraId="27C38143"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lang w:val="en-US"/>
              </w:rPr>
            </w:pPr>
            <w:r w:rsidRPr="006329C2">
              <w:rPr>
                <w:rFonts w:asciiTheme="minorHAnsi" w:eastAsia="Calibri" w:hAnsiTheme="minorHAnsi" w:cstheme="minorHAnsi"/>
                <w:bCs/>
                <w:sz w:val="22"/>
                <w:szCs w:val="22"/>
                <w:lang w:val="en-US"/>
              </w:rPr>
              <w:t>2,871</w:t>
            </w:r>
          </w:p>
        </w:tc>
        <w:tc>
          <w:tcPr>
            <w:tcW w:w="267" w:type="pct"/>
            <w:tcBorders>
              <w:top w:val="single" w:sz="4" w:space="0" w:color="auto"/>
              <w:left w:val="nil"/>
              <w:bottom w:val="nil"/>
              <w:right w:val="nil"/>
            </w:tcBorders>
            <w:shd w:val="clear" w:color="auto" w:fill="FFFFFF"/>
            <w:vAlign w:val="center"/>
          </w:tcPr>
          <w:p w14:paraId="1242A4B6"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lang w:val="en-US"/>
              </w:rPr>
            </w:pPr>
            <w:r w:rsidRPr="006329C2">
              <w:rPr>
                <w:rFonts w:asciiTheme="minorHAnsi" w:eastAsia="Calibri" w:hAnsiTheme="minorHAnsi" w:cstheme="minorHAnsi"/>
                <w:bCs/>
                <w:sz w:val="22"/>
                <w:szCs w:val="22"/>
                <w:lang w:val="en-US"/>
              </w:rPr>
              <w:t>0,918</w:t>
            </w:r>
          </w:p>
        </w:tc>
        <w:tc>
          <w:tcPr>
            <w:tcW w:w="267" w:type="pct"/>
            <w:tcBorders>
              <w:top w:val="single" w:sz="4" w:space="0" w:color="auto"/>
              <w:bottom w:val="nil"/>
            </w:tcBorders>
            <w:shd w:val="clear" w:color="auto" w:fill="FFFFFF"/>
            <w:vAlign w:val="center"/>
          </w:tcPr>
          <w:p w14:paraId="21B58487"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lang w:val="en-US"/>
              </w:rPr>
            </w:pPr>
            <w:r w:rsidRPr="006329C2">
              <w:rPr>
                <w:rFonts w:asciiTheme="minorHAnsi" w:eastAsia="Calibri" w:hAnsiTheme="minorHAnsi" w:cstheme="minorHAnsi"/>
                <w:bCs/>
                <w:sz w:val="22"/>
                <w:szCs w:val="22"/>
                <w:lang w:val="en-US"/>
              </w:rPr>
              <w:t>0,897</w:t>
            </w:r>
          </w:p>
        </w:tc>
        <w:tc>
          <w:tcPr>
            <w:tcW w:w="267" w:type="pct"/>
            <w:tcBorders>
              <w:top w:val="single" w:sz="4" w:space="0" w:color="auto"/>
              <w:left w:val="nil"/>
              <w:bottom w:val="nil"/>
              <w:right w:val="nil"/>
            </w:tcBorders>
            <w:shd w:val="clear" w:color="auto" w:fill="FFFFFF"/>
            <w:vAlign w:val="center"/>
          </w:tcPr>
          <w:p w14:paraId="4BAA018A"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lang w:val="en-US"/>
              </w:rPr>
            </w:pPr>
            <w:r w:rsidRPr="006329C2">
              <w:rPr>
                <w:rFonts w:asciiTheme="minorHAnsi" w:eastAsia="Calibri" w:hAnsiTheme="minorHAnsi" w:cstheme="minorHAnsi"/>
                <w:bCs/>
                <w:sz w:val="22"/>
                <w:szCs w:val="22"/>
                <w:lang w:val="en-US"/>
              </w:rPr>
              <w:t>0,945</w:t>
            </w:r>
          </w:p>
        </w:tc>
        <w:tc>
          <w:tcPr>
            <w:tcW w:w="267" w:type="pct"/>
            <w:tcBorders>
              <w:top w:val="single" w:sz="4" w:space="0" w:color="auto"/>
              <w:bottom w:val="nil"/>
            </w:tcBorders>
            <w:shd w:val="clear" w:color="auto" w:fill="FFFFFF"/>
            <w:vAlign w:val="center"/>
          </w:tcPr>
          <w:p w14:paraId="5409E472"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lang w:val="en-US"/>
              </w:rPr>
            </w:pPr>
            <w:r w:rsidRPr="006329C2">
              <w:rPr>
                <w:rFonts w:asciiTheme="minorHAnsi" w:eastAsia="Calibri" w:hAnsiTheme="minorHAnsi" w:cstheme="minorHAnsi"/>
                <w:bCs/>
                <w:sz w:val="22"/>
                <w:szCs w:val="22"/>
                <w:lang w:val="en-US"/>
              </w:rPr>
              <w:t>0,931</w:t>
            </w:r>
          </w:p>
        </w:tc>
        <w:tc>
          <w:tcPr>
            <w:tcW w:w="267" w:type="pct"/>
            <w:tcBorders>
              <w:top w:val="single" w:sz="4" w:space="0" w:color="auto"/>
              <w:left w:val="nil"/>
              <w:bottom w:val="nil"/>
              <w:right w:val="nil"/>
            </w:tcBorders>
            <w:shd w:val="clear" w:color="auto" w:fill="FFFFFF"/>
            <w:vAlign w:val="center"/>
          </w:tcPr>
          <w:p w14:paraId="1A8DD709"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lang w:val="en-US"/>
              </w:rPr>
            </w:pPr>
            <w:r w:rsidRPr="006329C2">
              <w:rPr>
                <w:rFonts w:asciiTheme="minorHAnsi" w:eastAsia="Calibri" w:hAnsiTheme="minorHAnsi" w:cstheme="minorHAnsi"/>
                <w:bCs/>
                <w:sz w:val="22"/>
                <w:szCs w:val="22"/>
                <w:lang w:val="en-US"/>
              </w:rPr>
              <w:t>0,945</w:t>
            </w:r>
          </w:p>
        </w:tc>
        <w:tc>
          <w:tcPr>
            <w:tcW w:w="267" w:type="pct"/>
            <w:tcBorders>
              <w:top w:val="single" w:sz="4" w:space="0" w:color="auto"/>
              <w:bottom w:val="nil"/>
            </w:tcBorders>
            <w:shd w:val="clear" w:color="auto" w:fill="FFFFFF"/>
            <w:vAlign w:val="center"/>
          </w:tcPr>
          <w:p w14:paraId="4E7F4424"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lang w:val="en-US"/>
              </w:rPr>
            </w:pPr>
            <w:r w:rsidRPr="006329C2">
              <w:rPr>
                <w:rFonts w:asciiTheme="minorHAnsi" w:eastAsia="Calibri" w:hAnsiTheme="minorHAnsi" w:cstheme="minorHAnsi"/>
                <w:bCs/>
                <w:sz w:val="22"/>
                <w:szCs w:val="22"/>
                <w:lang w:val="en-US"/>
              </w:rPr>
              <w:t>0,898</w:t>
            </w:r>
          </w:p>
        </w:tc>
        <w:tc>
          <w:tcPr>
            <w:tcW w:w="300" w:type="pct"/>
            <w:tcBorders>
              <w:top w:val="single" w:sz="4" w:space="0" w:color="auto"/>
              <w:left w:val="nil"/>
              <w:bottom w:val="nil"/>
              <w:right w:val="nil"/>
            </w:tcBorders>
            <w:shd w:val="clear" w:color="auto" w:fill="FFFFFF"/>
            <w:vAlign w:val="center"/>
          </w:tcPr>
          <w:p w14:paraId="03660B0C"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lang w:val="en-US"/>
              </w:rPr>
            </w:pPr>
            <w:r w:rsidRPr="006329C2">
              <w:rPr>
                <w:rFonts w:asciiTheme="minorHAnsi" w:eastAsia="Calibri" w:hAnsiTheme="minorHAnsi" w:cstheme="minorHAnsi"/>
                <w:bCs/>
                <w:sz w:val="22"/>
                <w:szCs w:val="22"/>
                <w:lang w:val="en-US"/>
              </w:rPr>
              <w:t>0,850</w:t>
            </w:r>
          </w:p>
        </w:tc>
        <w:tc>
          <w:tcPr>
            <w:tcW w:w="397" w:type="pct"/>
            <w:tcBorders>
              <w:top w:val="single" w:sz="4" w:space="0" w:color="auto"/>
              <w:bottom w:val="nil"/>
            </w:tcBorders>
            <w:shd w:val="clear" w:color="auto" w:fill="FFFFFF"/>
            <w:vAlign w:val="center"/>
          </w:tcPr>
          <w:p w14:paraId="7CC28966"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lang w:val="en-US"/>
              </w:rPr>
            </w:pPr>
            <w:r w:rsidRPr="006329C2">
              <w:rPr>
                <w:rFonts w:asciiTheme="minorHAnsi" w:eastAsia="Calibri" w:hAnsiTheme="minorHAnsi" w:cstheme="minorHAnsi"/>
                <w:bCs/>
                <w:sz w:val="22"/>
                <w:szCs w:val="22"/>
                <w:lang w:val="en-US"/>
              </w:rPr>
              <w:t>0,088 (0,073 -</w:t>
            </w:r>
            <w:r w:rsidRPr="006329C2">
              <w:rPr>
                <w:rFonts w:asciiTheme="minorHAnsi" w:hAnsiTheme="minorHAnsi" w:cstheme="minorHAnsi"/>
                <w:sz w:val="22"/>
                <w:szCs w:val="22"/>
              </w:rPr>
              <w:t xml:space="preserve"> </w:t>
            </w:r>
            <w:r w:rsidRPr="006329C2">
              <w:rPr>
                <w:rFonts w:asciiTheme="minorHAnsi" w:hAnsiTheme="minorHAnsi" w:cstheme="minorHAnsi"/>
                <w:sz w:val="22"/>
                <w:szCs w:val="22"/>
                <w:lang w:val="en-US"/>
              </w:rPr>
              <w:t>0</w:t>
            </w:r>
            <w:r w:rsidRPr="006329C2">
              <w:rPr>
                <w:rFonts w:asciiTheme="minorHAnsi" w:eastAsia="Calibri" w:hAnsiTheme="minorHAnsi" w:cstheme="minorHAnsi"/>
                <w:bCs/>
                <w:sz w:val="22"/>
                <w:szCs w:val="22"/>
                <w:lang w:val="en-US"/>
              </w:rPr>
              <w:t>,103)</w:t>
            </w:r>
          </w:p>
        </w:tc>
        <w:tc>
          <w:tcPr>
            <w:tcW w:w="293" w:type="pct"/>
            <w:tcBorders>
              <w:top w:val="single" w:sz="4" w:space="0" w:color="auto"/>
              <w:left w:val="nil"/>
              <w:bottom w:val="nil"/>
              <w:right w:val="nil"/>
            </w:tcBorders>
            <w:shd w:val="clear" w:color="auto" w:fill="FFFFFF"/>
            <w:vAlign w:val="center"/>
          </w:tcPr>
          <w:p w14:paraId="4E1DF72E"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rPr>
            </w:pPr>
            <w:r w:rsidRPr="006329C2">
              <w:rPr>
                <w:rFonts w:asciiTheme="minorHAnsi" w:eastAsia="Calibri" w:hAnsiTheme="minorHAnsi" w:cstheme="minorHAnsi"/>
                <w:bCs/>
                <w:sz w:val="22"/>
                <w:szCs w:val="22"/>
                <w:lang w:val="en-US"/>
              </w:rPr>
              <w:t>0</w:t>
            </w:r>
            <w:r w:rsidRPr="006329C2">
              <w:rPr>
                <w:rFonts w:asciiTheme="minorHAnsi" w:eastAsia="Calibri" w:hAnsiTheme="minorHAnsi" w:cstheme="minorHAnsi"/>
                <w:bCs/>
                <w:sz w:val="22"/>
                <w:szCs w:val="22"/>
              </w:rPr>
              <w:t>,088</w:t>
            </w:r>
          </w:p>
        </w:tc>
        <w:tc>
          <w:tcPr>
            <w:tcW w:w="341" w:type="pct"/>
            <w:tcBorders>
              <w:top w:val="single" w:sz="4" w:space="0" w:color="auto"/>
              <w:bottom w:val="nil"/>
            </w:tcBorders>
            <w:shd w:val="clear" w:color="auto" w:fill="FFFFFF"/>
            <w:vAlign w:val="center"/>
          </w:tcPr>
          <w:p w14:paraId="6EA0738E"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rPr>
            </w:pPr>
            <w:r w:rsidRPr="006329C2">
              <w:rPr>
                <w:rFonts w:asciiTheme="minorHAnsi" w:eastAsia="Calibri" w:hAnsiTheme="minorHAnsi" w:cstheme="minorHAnsi"/>
                <w:bCs/>
                <w:sz w:val="22"/>
                <w:szCs w:val="22"/>
              </w:rPr>
              <w:t>0,079</w:t>
            </w:r>
          </w:p>
        </w:tc>
        <w:tc>
          <w:tcPr>
            <w:tcW w:w="352" w:type="pct"/>
            <w:tcBorders>
              <w:top w:val="single" w:sz="4" w:space="0" w:color="auto"/>
              <w:left w:val="nil"/>
              <w:bottom w:val="nil"/>
              <w:right w:val="nil"/>
            </w:tcBorders>
            <w:shd w:val="clear" w:color="auto" w:fill="FFFFFF"/>
            <w:vAlign w:val="center"/>
          </w:tcPr>
          <w:p w14:paraId="1C7DF23E"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rPr>
            </w:pPr>
            <w:r w:rsidRPr="006329C2">
              <w:rPr>
                <w:rFonts w:asciiTheme="minorHAnsi" w:eastAsia="Calibri" w:hAnsiTheme="minorHAnsi" w:cstheme="minorHAnsi"/>
                <w:bCs/>
                <w:sz w:val="22"/>
                <w:szCs w:val="22"/>
              </w:rPr>
              <w:t>236,015</w:t>
            </w:r>
          </w:p>
        </w:tc>
        <w:tc>
          <w:tcPr>
            <w:tcW w:w="352" w:type="pct"/>
            <w:tcBorders>
              <w:top w:val="single" w:sz="4" w:space="0" w:color="auto"/>
              <w:bottom w:val="nil"/>
            </w:tcBorders>
            <w:shd w:val="clear" w:color="auto" w:fill="FFFFFF"/>
            <w:vAlign w:val="center"/>
          </w:tcPr>
          <w:p w14:paraId="26C2FE7B"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lang w:val="en-US"/>
              </w:rPr>
            </w:pPr>
            <w:r w:rsidRPr="006329C2">
              <w:rPr>
                <w:rFonts w:asciiTheme="minorHAnsi" w:eastAsia="Calibri" w:hAnsiTheme="minorHAnsi" w:cstheme="minorHAnsi"/>
                <w:sz w:val="22"/>
                <w:szCs w:val="22"/>
                <w:lang w:val="en-US"/>
              </w:rPr>
              <w:t>366,432</w:t>
            </w:r>
          </w:p>
        </w:tc>
        <w:tc>
          <w:tcPr>
            <w:tcW w:w="323" w:type="pct"/>
            <w:tcBorders>
              <w:top w:val="single" w:sz="4" w:space="0" w:color="auto"/>
              <w:left w:val="nil"/>
              <w:bottom w:val="nil"/>
              <w:right w:val="nil"/>
            </w:tcBorders>
            <w:shd w:val="clear" w:color="auto" w:fill="FFFFFF"/>
            <w:vAlign w:val="center"/>
          </w:tcPr>
          <w:p w14:paraId="21A972E0"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rPr>
            </w:pPr>
            <w:r w:rsidRPr="006329C2">
              <w:rPr>
                <w:rFonts w:asciiTheme="minorHAnsi" w:eastAsia="Calibri" w:hAnsiTheme="minorHAnsi" w:cstheme="minorHAnsi"/>
                <w:bCs/>
                <w:sz w:val="22"/>
                <w:szCs w:val="22"/>
                <w:lang w:val="en-US"/>
              </w:rPr>
              <w:t>0</w:t>
            </w:r>
            <w:r w:rsidRPr="006329C2">
              <w:rPr>
                <w:rFonts w:asciiTheme="minorHAnsi" w:eastAsia="Calibri" w:hAnsiTheme="minorHAnsi" w:cstheme="minorHAnsi"/>
                <w:bCs/>
                <w:sz w:val="22"/>
                <w:szCs w:val="22"/>
              </w:rPr>
              <w:t>,971 (</w:t>
            </w:r>
            <w:r w:rsidRPr="006329C2">
              <w:rPr>
                <w:rFonts w:asciiTheme="minorHAnsi" w:eastAsia="Calibri" w:hAnsiTheme="minorHAnsi" w:cstheme="minorHAnsi"/>
                <w:bCs/>
                <w:sz w:val="22"/>
                <w:szCs w:val="22"/>
                <w:lang w:val="en-US"/>
              </w:rPr>
              <w:t>0</w:t>
            </w:r>
            <w:r w:rsidRPr="006329C2">
              <w:rPr>
                <w:rFonts w:asciiTheme="minorHAnsi" w:eastAsia="Calibri" w:hAnsiTheme="minorHAnsi" w:cstheme="minorHAnsi"/>
                <w:bCs/>
                <w:sz w:val="22"/>
                <w:szCs w:val="22"/>
              </w:rPr>
              <w:t>,823-1,151)</w:t>
            </w:r>
          </w:p>
        </w:tc>
      </w:tr>
      <w:tr w:rsidR="00211A46" w:rsidRPr="006329C2" w14:paraId="4D30ACE1" w14:textId="77777777" w:rsidTr="001921D6">
        <w:trPr>
          <w:trHeight w:val="785"/>
          <w:jc w:val="center"/>
        </w:trPr>
        <w:tc>
          <w:tcPr>
            <w:tcW w:w="387" w:type="pct"/>
            <w:tcBorders>
              <w:top w:val="nil"/>
              <w:bottom w:val="nil"/>
            </w:tcBorders>
            <w:shd w:val="clear" w:color="auto" w:fill="FFFFFF"/>
            <w:vAlign w:val="center"/>
          </w:tcPr>
          <w:p w14:paraId="72A9C06D"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rPr>
            </w:pPr>
            <w:r w:rsidRPr="006329C2">
              <w:rPr>
                <w:rFonts w:asciiTheme="minorHAnsi" w:eastAsia="Calibri" w:hAnsiTheme="minorHAnsi" w:cstheme="minorHAnsi"/>
                <w:bCs/>
                <w:sz w:val="22"/>
                <w:szCs w:val="22"/>
              </w:rPr>
              <w:t>1</w:t>
            </w:r>
            <w:r w:rsidRPr="006329C2">
              <w:rPr>
                <w:rFonts w:asciiTheme="minorHAnsi" w:eastAsia="Calibri" w:hAnsiTheme="minorHAnsi" w:cstheme="minorHAnsi"/>
                <w:bCs/>
                <w:sz w:val="22"/>
                <w:szCs w:val="22"/>
                <w:vertAlign w:val="subscript"/>
              </w:rPr>
              <w:t>α</w:t>
            </w:r>
          </w:p>
        </w:tc>
        <w:tc>
          <w:tcPr>
            <w:tcW w:w="386" w:type="pct"/>
            <w:tcBorders>
              <w:top w:val="nil"/>
              <w:bottom w:val="nil"/>
            </w:tcBorders>
            <w:shd w:val="clear" w:color="auto" w:fill="FFFFFF"/>
            <w:vAlign w:val="center"/>
          </w:tcPr>
          <w:p w14:paraId="75481965"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rPr>
              <w:t>146,643 (</w:t>
            </w:r>
            <w:r w:rsidRPr="006329C2">
              <w:rPr>
                <w:rFonts w:asciiTheme="minorHAnsi" w:eastAsia="Calibri" w:hAnsiTheme="minorHAnsi" w:cstheme="minorHAnsi"/>
                <w:i/>
                <w:sz w:val="22"/>
                <w:szCs w:val="22"/>
                <w:lang w:val="en-US"/>
              </w:rPr>
              <w:t>df</w:t>
            </w:r>
            <w:r w:rsidRPr="006329C2">
              <w:rPr>
                <w:rFonts w:asciiTheme="minorHAnsi" w:eastAsia="Calibri" w:hAnsiTheme="minorHAnsi" w:cstheme="minorHAnsi"/>
                <w:sz w:val="22"/>
                <w:szCs w:val="22"/>
                <w:lang w:val="en-US"/>
              </w:rPr>
              <w:t>=62</w:t>
            </w:r>
            <w:r w:rsidRPr="006329C2">
              <w:rPr>
                <w:rFonts w:asciiTheme="minorHAnsi" w:eastAsia="Calibri" w:hAnsiTheme="minorHAnsi" w:cstheme="minorHAnsi"/>
                <w:sz w:val="22"/>
                <w:szCs w:val="22"/>
              </w:rPr>
              <w:t xml:space="preserve">, </w:t>
            </w:r>
            <w:r w:rsidRPr="006329C2">
              <w:rPr>
                <w:rFonts w:asciiTheme="minorHAnsi" w:eastAsia="Calibri" w:hAnsiTheme="minorHAnsi" w:cstheme="minorHAnsi"/>
                <w:bCs/>
                <w:i/>
                <w:sz w:val="22"/>
                <w:szCs w:val="22"/>
                <w:lang w:val="en-US"/>
              </w:rPr>
              <w:t>p</w:t>
            </w:r>
            <w:r w:rsidRPr="006329C2">
              <w:rPr>
                <w:rFonts w:asciiTheme="minorHAnsi" w:eastAsia="Calibri" w:hAnsiTheme="minorHAnsi" w:cstheme="minorHAnsi"/>
                <w:bCs/>
                <w:sz w:val="22"/>
                <w:szCs w:val="22"/>
                <w:lang w:val="en-US"/>
              </w:rPr>
              <w:t>&lt;0,001</w:t>
            </w:r>
            <w:r w:rsidRPr="006329C2">
              <w:rPr>
                <w:rFonts w:asciiTheme="minorHAnsi" w:eastAsia="Calibri" w:hAnsiTheme="minorHAnsi" w:cstheme="minorHAnsi"/>
                <w:bCs/>
                <w:sz w:val="22"/>
                <w:szCs w:val="22"/>
              </w:rPr>
              <w:t>)</w:t>
            </w:r>
          </w:p>
        </w:tc>
        <w:tc>
          <w:tcPr>
            <w:tcW w:w="268" w:type="pct"/>
            <w:tcBorders>
              <w:top w:val="nil"/>
              <w:bottom w:val="nil"/>
            </w:tcBorders>
            <w:shd w:val="clear" w:color="auto" w:fill="FFFFFF"/>
            <w:vAlign w:val="center"/>
          </w:tcPr>
          <w:p w14:paraId="6A032502"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rPr>
              <w:t>2,365</w:t>
            </w:r>
          </w:p>
        </w:tc>
        <w:tc>
          <w:tcPr>
            <w:tcW w:w="267" w:type="pct"/>
            <w:tcBorders>
              <w:top w:val="nil"/>
              <w:bottom w:val="nil"/>
            </w:tcBorders>
            <w:shd w:val="clear" w:color="auto" w:fill="FFFFFF"/>
            <w:vAlign w:val="center"/>
          </w:tcPr>
          <w:p w14:paraId="15AFBE88"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bookmarkStart w:id="6" w:name="_Hlk209877846"/>
            <w:r w:rsidRPr="006329C2">
              <w:rPr>
                <w:rFonts w:asciiTheme="minorHAnsi" w:eastAsia="Calibri" w:hAnsiTheme="minorHAnsi" w:cstheme="minorHAnsi"/>
                <w:sz w:val="22"/>
                <w:szCs w:val="22"/>
                <w:lang w:val="en-US"/>
              </w:rPr>
              <w:t>0</w:t>
            </w:r>
            <w:r w:rsidRPr="006329C2">
              <w:rPr>
                <w:rFonts w:asciiTheme="minorHAnsi" w:eastAsia="Calibri" w:hAnsiTheme="minorHAnsi" w:cstheme="minorHAnsi"/>
                <w:sz w:val="22"/>
                <w:szCs w:val="22"/>
              </w:rPr>
              <w:t>,933</w:t>
            </w:r>
            <w:bookmarkEnd w:id="6"/>
          </w:p>
        </w:tc>
        <w:tc>
          <w:tcPr>
            <w:tcW w:w="267" w:type="pct"/>
            <w:tcBorders>
              <w:top w:val="nil"/>
              <w:bottom w:val="nil"/>
            </w:tcBorders>
            <w:shd w:val="clear" w:color="auto" w:fill="FFFFFF"/>
            <w:vAlign w:val="center"/>
          </w:tcPr>
          <w:p w14:paraId="122D241A"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lang w:val="en-US"/>
              </w:rPr>
              <w:t>0</w:t>
            </w:r>
            <w:r w:rsidRPr="006329C2">
              <w:rPr>
                <w:rFonts w:asciiTheme="minorHAnsi" w:eastAsia="Calibri" w:hAnsiTheme="minorHAnsi" w:cstheme="minorHAnsi"/>
                <w:sz w:val="22"/>
                <w:szCs w:val="22"/>
              </w:rPr>
              <w:t>,915</w:t>
            </w:r>
          </w:p>
        </w:tc>
        <w:tc>
          <w:tcPr>
            <w:tcW w:w="267" w:type="pct"/>
            <w:tcBorders>
              <w:top w:val="nil"/>
              <w:bottom w:val="nil"/>
            </w:tcBorders>
            <w:shd w:val="clear" w:color="auto" w:fill="FFFFFF"/>
            <w:vAlign w:val="center"/>
          </w:tcPr>
          <w:p w14:paraId="68CEB1DD"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lang w:val="en-US"/>
              </w:rPr>
              <w:t>0</w:t>
            </w:r>
            <w:r w:rsidRPr="006329C2">
              <w:rPr>
                <w:rFonts w:asciiTheme="minorHAnsi" w:eastAsia="Calibri" w:hAnsiTheme="minorHAnsi" w:cstheme="minorHAnsi"/>
                <w:sz w:val="22"/>
                <w:szCs w:val="22"/>
              </w:rPr>
              <w:t>,960</w:t>
            </w:r>
          </w:p>
        </w:tc>
        <w:tc>
          <w:tcPr>
            <w:tcW w:w="267" w:type="pct"/>
            <w:tcBorders>
              <w:top w:val="nil"/>
              <w:bottom w:val="nil"/>
            </w:tcBorders>
            <w:shd w:val="clear" w:color="auto" w:fill="FFFFFF"/>
            <w:vAlign w:val="center"/>
          </w:tcPr>
          <w:p w14:paraId="5C8A62DF"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lang w:val="en-US"/>
              </w:rPr>
              <w:t>0</w:t>
            </w:r>
            <w:r w:rsidRPr="006329C2">
              <w:rPr>
                <w:rFonts w:asciiTheme="minorHAnsi" w:eastAsia="Calibri" w:hAnsiTheme="minorHAnsi" w:cstheme="minorHAnsi"/>
                <w:sz w:val="22"/>
                <w:szCs w:val="22"/>
              </w:rPr>
              <w:t>,949</w:t>
            </w:r>
          </w:p>
        </w:tc>
        <w:tc>
          <w:tcPr>
            <w:tcW w:w="267" w:type="pct"/>
            <w:tcBorders>
              <w:top w:val="nil"/>
              <w:bottom w:val="nil"/>
            </w:tcBorders>
            <w:shd w:val="clear" w:color="auto" w:fill="FFFFFF"/>
            <w:vAlign w:val="center"/>
          </w:tcPr>
          <w:p w14:paraId="43FFDAF4"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lang w:val="en-US"/>
              </w:rPr>
              <w:t>0</w:t>
            </w:r>
            <w:r w:rsidRPr="006329C2">
              <w:rPr>
                <w:rFonts w:asciiTheme="minorHAnsi" w:eastAsia="Calibri" w:hAnsiTheme="minorHAnsi" w:cstheme="minorHAnsi"/>
                <w:sz w:val="22"/>
                <w:szCs w:val="22"/>
              </w:rPr>
              <w:t>,960</w:t>
            </w:r>
          </w:p>
        </w:tc>
        <w:tc>
          <w:tcPr>
            <w:tcW w:w="267" w:type="pct"/>
            <w:tcBorders>
              <w:top w:val="nil"/>
              <w:bottom w:val="nil"/>
            </w:tcBorders>
            <w:shd w:val="clear" w:color="auto" w:fill="FFFFFF"/>
            <w:vAlign w:val="center"/>
          </w:tcPr>
          <w:p w14:paraId="497FA998"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lang w:val="en-US"/>
              </w:rPr>
              <w:t>0</w:t>
            </w:r>
            <w:r w:rsidRPr="006329C2">
              <w:rPr>
                <w:rFonts w:asciiTheme="minorHAnsi" w:eastAsia="Calibri" w:hAnsiTheme="minorHAnsi" w:cstheme="minorHAnsi"/>
                <w:sz w:val="22"/>
                <w:szCs w:val="22"/>
              </w:rPr>
              <w:t>,916</w:t>
            </w:r>
          </w:p>
        </w:tc>
        <w:tc>
          <w:tcPr>
            <w:tcW w:w="300" w:type="pct"/>
            <w:tcBorders>
              <w:top w:val="nil"/>
              <w:bottom w:val="nil"/>
            </w:tcBorders>
            <w:shd w:val="clear" w:color="auto" w:fill="FFFFFF"/>
            <w:vAlign w:val="center"/>
          </w:tcPr>
          <w:p w14:paraId="4199F5B9"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lang w:val="en-US"/>
              </w:rPr>
              <w:t>0</w:t>
            </w:r>
            <w:r w:rsidRPr="006329C2">
              <w:rPr>
                <w:rFonts w:asciiTheme="minorHAnsi" w:eastAsia="Calibri" w:hAnsiTheme="minorHAnsi" w:cstheme="minorHAnsi"/>
                <w:sz w:val="22"/>
                <w:szCs w:val="22"/>
              </w:rPr>
              <w:t>,877</w:t>
            </w:r>
          </w:p>
        </w:tc>
        <w:tc>
          <w:tcPr>
            <w:tcW w:w="397" w:type="pct"/>
            <w:tcBorders>
              <w:top w:val="nil"/>
              <w:bottom w:val="nil"/>
            </w:tcBorders>
            <w:shd w:val="clear" w:color="auto" w:fill="FFFFFF"/>
            <w:vAlign w:val="center"/>
          </w:tcPr>
          <w:p w14:paraId="4A749B50"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lang w:val="en-US"/>
              </w:rPr>
            </w:pPr>
            <w:r w:rsidRPr="006329C2">
              <w:rPr>
                <w:rFonts w:asciiTheme="minorHAnsi" w:eastAsia="Calibri" w:hAnsiTheme="minorHAnsi" w:cstheme="minorHAnsi"/>
                <w:sz w:val="22"/>
                <w:szCs w:val="22"/>
                <w:lang w:val="en-US"/>
              </w:rPr>
              <w:t xml:space="preserve">0,075 </w:t>
            </w:r>
            <w:r w:rsidRPr="006329C2">
              <w:rPr>
                <w:rFonts w:asciiTheme="minorHAnsi" w:eastAsia="Calibri" w:hAnsiTheme="minorHAnsi" w:cstheme="minorHAnsi"/>
                <w:sz w:val="22"/>
                <w:szCs w:val="22"/>
              </w:rPr>
              <w:t>(</w:t>
            </w:r>
            <w:r w:rsidRPr="006329C2">
              <w:rPr>
                <w:rFonts w:asciiTheme="minorHAnsi" w:eastAsia="Calibri" w:hAnsiTheme="minorHAnsi" w:cstheme="minorHAnsi"/>
                <w:sz w:val="22"/>
                <w:szCs w:val="22"/>
                <w:lang w:val="en-US"/>
              </w:rPr>
              <w:t>0,059-0,091</w:t>
            </w:r>
            <w:r w:rsidRPr="006329C2">
              <w:rPr>
                <w:rFonts w:asciiTheme="minorHAnsi" w:eastAsia="Calibri" w:hAnsiTheme="minorHAnsi" w:cstheme="minorHAnsi"/>
                <w:sz w:val="22"/>
                <w:szCs w:val="22"/>
              </w:rPr>
              <w:t>)</w:t>
            </w:r>
          </w:p>
        </w:tc>
        <w:tc>
          <w:tcPr>
            <w:tcW w:w="293" w:type="pct"/>
            <w:tcBorders>
              <w:top w:val="nil"/>
              <w:bottom w:val="nil"/>
            </w:tcBorders>
            <w:shd w:val="clear" w:color="auto" w:fill="FFFFFF"/>
            <w:vAlign w:val="center"/>
          </w:tcPr>
          <w:p w14:paraId="7677357C"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lang w:val="en-US"/>
              </w:rPr>
              <w:t>0</w:t>
            </w:r>
            <w:r w:rsidRPr="006329C2">
              <w:rPr>
                <w:rFonts w:asciiTheme="minorHAnsi" w:eastAsia="Calibri" w:hAnsiTheme="minorHAnsi" w:cstheme="minorHAnsi"/>
                <w:sz w:val="22"/>
                <w:szCs w:val="22"/>
              </w:rPr>
              <w:t>,087</w:t>
            </w:r>
          </w:p>
        </w:tc>
        <w:tc>
          <w:tcPr>
            <w:tcW w:w="341" w:type="pct"/>
            <w:tcBorders>
              <w:top w:val="nil"/>
              <w:bottom w:val="nil"/>
            </w:tcBorders>
            <w:shd w:val="clear" w:color="auto" w:fill="FFFFFF"/>
            <w:vAlign w:val="center"/>
          </w:tcPr>
          <w:p w14:paraId="564BC5B0"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rPr>
              <w:t>0,078</w:t>
            </w:r>
          </w:p>
        </w:tc>
        <w:tc>
          <w:tcPr>
            <w:tcW w:w="352" w:type="pct"/>
            <w:tcBorders>
              <w:top w:val="nil"/>
              <w:bottom w:val="nil"/>
            </w:tcBorders>
            <w:shd w:val="clear" w:color="auto" w:fill="FFFFFF"/>
            <w:vAlign w:val="center"/>
          </w:tcPr>
          <w:p w14:paraId="33EBE3A7"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rPr>
              <w:t>204,643</w:t>
            </w:r>
          </w:p>
        </w:tc>
        <w:tc>
          <w:tcPr>
            <w:tcW w:w="352" w:type="pct"/>
            <w:tcBorders>
              <w:top w:val="nil"/>
              <w:bottom w:val="nil"/>
            </w:tcBorders>
            <w:shd w:val="clear" w:color="auto" w:fill="FFFFFF"/>
            <w:vAlign w:val="center"/>
          </w:tcPr>
          <w:p w14:paraId="7B895B06"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rPr>
              <w:t>335,061</w:t>
            </w:r>
          </w:p>
        </w:tc>
        <w:tc>
          <w:tcPr>
            <w:tcW w:w="323" w:type="pct"/>
            <w:tcBorders>
              <w:top w:val="nil"/>
              <w:bottom w:val="nil"/>
            </w:tcBorders>
            <w:shd w:val="clear" w:color="auto" w:fill="FFFFFF"/>
            <w:vAlign w:val="center"/>
          </w:tcPr>
          <w:p w14:paraId="5F7601D2"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lang w:val="en-US"/>
              </w:rPr>
              <w:t>0</w:t>
            </w:r>
            <w:r w:rsidRPr="006329C2">
              <w:rPr>
                <w:rFonts w:asciiTheme="minorHAnsi" w:eastAsia="Calibri" w:hAnsiTheme="minorHAnsi" w:cstheme="minorHAnsi"/>
                <w:sz w:val="22"/>
                <w:szCs w:val="22"/>
              </w:rPr>
              <w:t>,842 (</w:t>
            </w:r>
            <w:r w:rsidRPr="006329C2">
              <w:rPr>
                <w:rFonts w:asciiTheme="minorHAnsi" w:eastAsia="Calibri" w:hAnsiTheme="minorHAnsi" w:cstheme="minorHAnsi"/>
                <w:sz w:val="22"/>
                <w:szCs w:val="22"/>
                <w:lang w:val="en-US"/>
              </w:rPr>
              <w:t>0</w:t>
            </w:r>
            <w:r w:rsidRPr="006329C2">
              <w:rPr>
                <w:rFonts w:asciiTheme="minorHAnsi" w:eastAsia="Calibri" w:hAnsiTheme="minorHAnsi" w:cstheme="minorHAnsi"/>
                <w:sz w:val="22"/>
                <w:szCs w:val="22"/>
              </w:rPr>
              <w:t>,712-1,004)</w:t>
            </w:r>
          </w:p>
        </w:tc>
      </w:tr>
      <w:tr w:rsidR="00211A46" w:rsidRPr="006329C2" w14:paraId="27A29A62" w14:textId="77777777" w:rsidTr="001921D6">
        <w:trPr>
          <w:trHeight w:val="796"/>
          <w:jc w:val="center"/>
        </w:trPr>
        <w:tc>
          <w:tcPr>
            <w:tcW w:w="387" w:type="pct"/>
            <w:tcBorders>
              <w:top w:val="nil"/>
              <w:bottom w:val="single" w:sz="4" w:space="0" w:color="auto"/>
            </w:tcBorders>
            <w:shd w:val="clear" w:color="auto" w:fill="FFFFFF"/>
            <w:vAlign w:val="center"/>
          </w:tcPr>
          <w:p w14:paraId="5F651A8A" w14:textId="77777777" w:rsidR="00211A46" w:rsidRPr="006329C2" w:rsidRDefault="00211A46" w:rsidP="00E91AED">
            <w:pPr>
              <w:autoSpaceDE w:val="0"/>
              <w:autoSpaceDN w:val="0"/>
              <w:adjustRightInd w:val="0"/>
              <w:jc w:val="center"/>
              <w:rPr>
                <w:rFonts w:asciiTheme="minorHAnsi" w:eastAsia="Calibri" w:hAnsiTheme="minorHAnsi" w:cstheme="minorHAnsi"/>
                <w:bCs/>
                <w:sz w:val="22"/>
                <w:szCs w:val="22"/>
              </w:rPr>
            </w:pPr>
            <w:r w:rsidRPr="006329C2">
              <w:rPr>
                <w:rFonts w:asciiTheme="minorHAnsi" w:eastAsia="Calibri" w:hAnsiTheme="minorHAnsi" w:cstheme="minorHAnsi"/>
                <w:bCs/>
                <w:sz w:val="22"/>
                <w:szCs w:val="22"/>
              </w:rPr>
              <w:t>1</w:t>
            </w:r>
            <w:r w:rsidRPr="006329C2">
              <w:rPr>
                <w:rFonts w:asciiTheme="minorHAnsi" w:eastAsia="Calibri" w:hAnsiTheme="minorHAnsi" w:cstheme="minorHAnsi"/>
                <w:bCs/>
                <w:sz w:val="22"/>
                <w:szCs w:val="22"/>
                <w:vertAlign w:val="subscript"/>
              </w:rPr>
              <w:t>β</w:t>
            </w:r>
          </w:p>
        </w:tc>
        <w:tc>
          <w:tcPr>
            <w:tcW w:w="386" w:type="pct"/>
            <w:tcBorders>
              <w:top w:val="nil"/>
              <w:left w:val="nil"/>
              <w:bottom w:val="single" w:sz="4" w:space="0" w:color="auto"/>
              <w:right w:val="nil"/>
            </w:tcBorders>
            <w:shd w:val="clear" w:color="auto" w:fill="FFFFFF"/>
            <w:vAlign w:val="center"/>
          </w:tcPr>
          <w:p w14:paraId="3688E514" w14:textId="77777777" w:rsidR="00211A46" w:rsidRDefault="00211A46" w:rsidP="00E91AED">
            <w:pPr>
              <w:autoSpaceDE w:val="0"/>
              <w:autoSpaceDN w:val="0"/>
              <w:adjustRightInd w:val="0"/>
              <w:jc w:val="center"/>
              <w:rPr>
                <w:rFonts w:asciiTheme="minorHAnsi" w:eastAsia="Calibri" w:hAnsiTheme="minorHAnsi" w:cstheme="minorHAnsi"/>
                <w:bCs/>
                <w:sz w:val="22"/>
                <w:szCs w:val="22"/>
              </w:rPr>
            </w:pPr>
            <w:r w:rsidRPr="006329C2">
              <w:rPr>
                <w:rFonts w:asciiTheme="minorHAnsi" w:eastAsia="Calibri" w:hAnsiTheme="minorHAnsi" w:cstheme="minorHAnsi"/>
                <w:sz w:val="22"/>
                <w:szCs w:val="22"/>
              </w:rPr>
              <w:t xml:space="preserve">586,251 </w:t>
            </w:r>
            <w:r w:rsidRPr="006329C2">
              <w:rPr>
                <w:rFonts w:asciiTheme="minorHAnsi" w:eastAsia="Calibri" w:hAnsiTheme="minorHAnsi" w:cstheme="minorHAnsi"/>
                <w:sz w:val="22"/>
                <w:szCs w:val="22"/>
                <w:lang w:val="en-US"/>
              </w:rPr>
              <w:t>(</w:t>
            </w:r>
            <w:r w:rsidRPr="006329C2">
              <w:rPr>
                <w:rFonts w:asciiTheme="minorHAnsi" w:eastAsia="Calibri" w:hAnsiTheme="minorHAnsi" w:cstheme="minorHAnsi"/>
                <w:i/>
                <w:sz w:val="22"/>
                <w:szCs w:val="22"/>
                <w:lang w:val="en-US"/>
              </w:rPr>
              <w:t>df</w:t>
            </w:r>
            <w:r w:rsidRPr="006329C2">
              <w:rPr>
                <w:rFonts w:asciiTheme="minorHAnsi" w:eastAsia="Calibri" w:hAnsiTheme="minorHAnsi" w:cstheme="minorHAnsi"/>
                <w:sz w:val="22"/>
                <w:szCs w:val="22"/>
                <w:lang w:val="en-US"/>
              </w:rPr>
              <w:t>=65</w:t>
            </w:r>
            <w:r w:rsidRPr="006329C2">
              <w:rPr>
                <w:rFonts w:asciiTheme="minorHAnsi" w:eastAsia="Calibri" w:hAnsiTheme="minorHAnsi" w:cstheme="minorHAnsi"/>
                <w:sz w:val="22"/>
                <w:szCs w:val="22"/>
              </w:rPr>
              <w:t xml:space="preserve">, </w:t>
            </w:r>
            <w:r w:rsidRPr="006329C2">
              <w:rPr>
                <w:rFonts w:asciiTheme="minorHAnsi" w:eastAsia="Calibri" w:hAnsiTheme="minorHAnsi" w:cstheme="minorHAnsi"/>
                <w:bCs/>
                <w:i/>
                <w:sz w:val="22"/>
                <w:szCs w:val="22"/>
                <w:lang w:val="en-US"/>
              </w:rPr>
              <w:t>p</w:t>
            </w:r>
            <w:r w:rsidRPr="006329C2">
              <w:rPr>
                <w:rFonts w:asciiTheme="minorHAnsi" w:eastAsia="Calibri" w:hAnsiTheme="minorHAnsi" w:cstheme="minorHAnsi"/>
                <w:bCs/>
                <w:sz w:val="22"/>
                <w:szCs w:val="22"/>
                <w:lang w:val="en-US"/>
              </w:rPr>
              <w:t>&lt;0,001</w:t>
            </w:r>
            <w:r w:rsidRPr="006329C2">
              <w:rPr>
                <w:rFonts w:asciiTheme="minorHAnsi" w:eastAsia="Calibri" w:hAnsiTheme="minorHAnsi" w:cstheme="minorHAnsi"/>
                <w:bCs/>
                <w:sz w:val="22"/>
                <w:szCs w:val="22"/>
              </w:rPr>
              <w:t>)</w:t>
            </w:r>
          </w:p>
          <w:p w14:paraId="44B80210" w14:textId="408B2EA2" w:rsidR="001921D6" w:rsidRPr="006329C2" w:rsidRDefault="001921D6" w:rsidP="00E91AED">
            <w:pPr>
              <w:autoSpaceDE w:val="0"/>
              <w:autoSpaceDN w:val="0"/>
              <w:adjustRightInd w:val="0"/>
              <w:jc w:val="center"/>
              <w:rPr>
                <w:rFonts w:asciiTheme="minorHAnsi" w:eastAsia="Calibri" w:hAnsiTheme="minorHAnsi" w:cstheme="minorHAnsi"/>
                <w:sz w:val="22"/>
                <w:szCs w:val="22"/>
              </w:rPr>
            </w:pPr>
          </w:p>
        </w:tc>
        <w:tc>
          <w:tcPr>
            <w:tcW w:w="268" w:type="pct"/>
            <w:tcBorders>
              <w:top w:val="nil"/>
              <w:bottom w:val="single" w:sz="4" w:space="0" w:color="auto"/>
            </w:tcBorders>
            <w:shd w:val="clear" w:color="auto" w:fill="FFFFFF"/>
            <w:vAlign w:val="center"/>
          </w:tcPr>
          <w:p w14:paraId="62340929"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rPr>
              <w:t>9,019</w:t>
            </w:r>
          </w:p>
        </w:tc>
        <w:tc>
          <w:tcPr>
            <w:tcW w:w="267" w:type="pct"/>
            <w:tcBorders>
              <w:top w:val="nil"/>
              <w:left w:val="nil"/>
              <w:bottom w:val="single" w:sz="4" w:space="0" w:color="auto"/>
              <w:right w:val="nil"/>
            </w:tcBorders>
            <w:shd w:val="clear" w:color="auto" w:fill="FFFFFF"/>
            <w:vAlign w:val="center"/>
          </w:tcPr>
          <w:p w14:paraId="01505293"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lang w:val="en-US"/>
              </w:rPr>
              <w:t>0</w:t>
            </w:r>
            <w:r w:rsidRPr="006329C2">
              <w:rPr>
                <w:rFonts w:asciiTheme="minorHAnsi" w:eastAsia="Calibri" w:hAnsiTheme="minorHAnsi" w:cstheme="minorHAnsi"/>
                <w:sz w:val="22"/>
                <w:szCs w:val="22"/>
              </w:rPr>
              <w:t>,731</w:t>
            </w:r>
          </w:p>
        </w:tc>
        <w:tc>
          <w:tcPr>
            <w:tcW w:w="267" w:type="pct"/>
            <w:tcBorders>
              <w:top w:val="nil"/>
              <w:bottom w:val="single" w:sz="4" w:space="0" w:color="auto"/>
            </w:tcBorders>
            <w:shd w:val="clear" w:color="auto" w:fill="FFFFFF"/>
            <w:vAlign w:val="center"/>
          </w:tcPr>
          <w:p w14:paraId="017C7B5E"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lang w:val="en-US"/>
              </w:rPr>
              <w:t>0</w:t>
            </w:r>
            <w:r w:rsidRPr="006329C2">
              <w:rPr>
                <w:rFonts w:asciiTheme="minorHAnsi" w:eastAsia="Calibri" w:hAnsiTheme="minorHAnsi" w:cstheme="minorHAnsi"/>
                <w:sz w:val="22"/>
                <w:szCs w:val="22"/>
              </w:rPr>
              <w:t>,677</w:t>
            </w:r>
          </w:p>
        </w:tc>
        <w:tc>
          <w:tcPr>
            <w:tcW w:w="267" w:type="pct"/>
            <w:tcBorders>
              <w:top w:val="nil"/>
              <w:left w:val="nil"/>
              <w:bottom w:val="single" w:sz="4" w:space="0" w:color="auto"/>
              <w:right w:val="nil"/>
            </w:tcBorders>
            <w:shd w:val="clear" w:color="auto" w:fill="FFFFFF"/>
            <w:vAlign w:val="center"/>
          </w:tcPr>
          <w:p w14:paraId="1F956DD7"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lang w:val="en-US"/>
              </w:rPr>
              <w:t>0</w:t>
            </w:r>
            <w:r w:rsidRPr="006329C2">
              <w:rPr>
                <w:rFonts w:asciiTheme="minorHAnsi" w:eastAsia="Calibri" w:hAnsiTheme="minorHAnsi" w:cstheme="minorHAnsi"/>
                <w:sz w:val="22"/>
                <w:szCs w:val="22"/>
              </w:rPr>
              <w:t>,753</w:t>
            </w:r>
          </w:p>
        </w:tc>
        <w:tc>
          <w:tcPr>
            <w:tcW w:w="267" w:type="pct"/>
            <w:tcBorders>
              <w:top w:val="nil"/>
              <w:bottom w:val="single" w:sz="4" w:space="0" w:color="auto"/>
            </w:tcBorders>
            <w:shd w:val="clear" w:color="auto" w:fill="FFFFFF"/>
            <w:vAlign w:val="center"/>
          </w:tcPr>
          <w:p w14:paraId="42A381EB"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lang w:val="en-US"/>
              </w:rPr>
              <w:t>0</w:t>
            </w:r>
            <w:r w:rsidRPr="006329C2">
              <w:rPr>
                <w:rFonts w:asciiTheme="minorHAnsi" w:eastAsia="Calibri" w:hAnsiTheme="minorHAnsi" w:cstheme="minorHAnsi"/>
                <w:sz w:val="22"/>
                <w:szCs w:val="22"/>
              </w:rPr>
              <w:t>,702</w:t>
            </w:r>
          </w:p>
        </w:tc>
        <w:tc>
          <w:tcPr>
            <w:tcW w:w="267" w:type="pct"/>
            <w:tcBorders>
              <w:top w:val="nil"/>
              <w:left w:val="nil"/>
              <w:bottom w:val="single" w:sz="4" w:space="0" w:color="auto"/>
              <w:right w:val="nil"/>
            </w:tcBorders>
            <w:shd w:val="clear" w:color="auto" w:fill="FFFFFF"/>
            <w:vAlign w:val="center"/>
          </w:tcPr>
          <w:p w14:paraId="15BBF764"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lang w:val="en-US"/>
              </w:rPr>
              <w:t>0</w:t>
            </w:r>
            <w:r w:rsidRPr="006329C2">
              <w:rPr>
                <w:rFonts w:asciiTheme="minorHAnsi" w:eastAsia="Calibri" w:hAnsiTheme="minorHAnsi" w:cstheme="minorHAnsi"/>
                <w:sz w:val="22"/>
                <w:szCs w:val="22"/>
              </w:rPr>
              <w:t>,752</w:t>
            </w:r>
          </w:p>
        </w:tc>
        <w:tc>
          <w:tcPr>
            <w:tcW w:w="267" w:type="pct"/>
            <w:tcBorders>
              <w:top w:val="nil"/>
              <w:bottom w:val="single" w:sz="4" w:space="0" w:color="auto"/>
            </w:tcBorders>
            <w:shd w:val="clear" w:color="auto" w:fill="FFFFFF"/>
            <w:vAlign w:val="center"/>
          </w:tcPr>
          <w:p w14:paraId="670E7F68"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lang w:val="en-US"/>
              </w:rPr>
              <w:t>0</w:t>
            </w:r>
            <w:r w:rsidRPr="006329C2">
              <w:rPr>
                <w:rFonts w:asciiTheme="minorHAnsi" w:eastAsia="Calibri" w:hAnsiTheme="minorHAnsi" w:cstheme="minorHAnsi"/>
                <w:sz w:val="22"/>
                <w:szCs w:val="22"/>
              </w:rPr>
              <w:t>,791</w:t>
            </w:r>
          </w:p>
        </w:tc>
        <w:tc>
          <w:tcPr>
            <w:tcW w:w="300" w:type="pct"/>
            <w:tcBorders>
              <w:top w:val="nil"/>
              <w:left w:val="nil"/>
              <w:bottom w:val="single" w:sz="4" w:space="0" w:color="auto"/>
              <w:right w:val="nil"/>
            </w:tcBorders>
            <w:shd w:val="clear" w:color="auto" w:fill="FFFFFF"/>
            <w:vAlign w:val="center"/>
          </w:tcPr>
          <w:p w14:paraId="323AAEF2"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lang w:val="en-US"/>
              </w:rPr>
              <w:t>0</w:t>
            </w:r>
            <w:r w:rsidRPr="006329C2">
              <w:rPr>
                <w:rFonts w:asciiTheme="minorHAnsi" w:eastAsia="Calibri" w:hAnsiTheme="minorHAnsi" w:cstheme="minorHAnsi"/>
                <w:sz w:val="22"/>
                <w:szCs w:val="22"/>
              </w:rPr>
              <w:t>,708</w:t>
            </w:r>
          </w:p>
        </w:tc>
        <w:tc>
          <w:tcPr>
            <w:tcW w:w="397" w:type="pct"/>
            <w:tcBorders>
              <w:top w:val="nil"/>
              <w:bottom w:val="single" w:sz="4" w:space="0" w:color="auto"/>
            </w:tcBorders>
            <w:shd w:val="clear" w:color="auto" w:fill="FFFFFF"/>
            <w:vAlign w:val="center"/>
          </w:tcPr>
          <w:p w14:paraId="10563E8D"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lang w:val="en-US"/>
              </w:rPr>
            </w:pPr>
            <w:r w:rsidRPr="006329C2">
              <w:rPr>
                <w:rFonts w:asciiTheme="minorHAnsi" w:eastAsia="Calibri" w:hAnsiTheme="minorHAnsi" w:cstheme="minorHAnsi"/>
                <w:sz w:val="22"/>
                <w:szCs w:val="22"/>
                <w:lang w:val="en-US"/>
              </w:rPr>
              <w:t>0</w:t>
            </w:r>
            <w:r w:rsidRPr="006329C2">
              <w:rPr>
                <w:rFonts w:asciiTheme="minorHAnsi" w:eastAsia="Calibri" w:hAnsiTheme="minorHAnsi" w:cstheme="minorHAnsi"/>
                <w:sz w:val="22"/>
                <w:szCs w:val="22"/>
              </w:rPr>
              <w:t xml:space="preserve">,182 </w:t>
            </w:r>
            <w:r w:rsidRPr="006329C2">
              <w:rPr>
                <w:rFonts w:asciiTheme="minorHAnsi" w:eastAsia="Calibri" w:hAnsiTheme="minorHAnsi" w:cstheme="minorHAnsi"/>
                <w:sz w:val="22"/>
                <w:szCs w:val="22"/>
                <w:lang w:val="en-US"/>
              </w:rPr>
              <w:t>(0</w:t>
            </w:r>
            <w:r w:rsidRPr="006329C2">
              <w:rPr>
                <w:rFonts w:asciiTheme="minorHAnsi" w:eastAsia="Calibri" w:hAnsiTheme="minorHAnsi" w:cstheme="minorHAnsi"/>
                <w:sz w:val="22"/>
                <w:szCs w:val="22"/>
              </w:rPr>
              <w:t>,168</w:t>
            </w:r>
            <w:r w:rsidRPr="006329C2">
              <w:rPr>
                <w:rFonts w:asciiTheme="minorHAnsi" w:eastAsia="Calibri" w:hAnsiTheme="minorHAnsi" w:cstheme="minorHAnsi"/>
                <w:sz w:val="22"/>
                <w:szCs w:val="22"/>
                <w:lang w:val="en-US"/>
              </w:rPr>
              <w:t>-0</w:t>
            </w:r>
            <w:r w:rsidRPr="006329C2">
              <w:rPr>
                <w:rFonts w:asciiTheme="minorHAnsi" w:eastAsia="Calibri" w:hAnsiTheme="minorHAnsi" w:cstheme="minorHAnsi"/>
                <w:sz w:val="22"/>
                <w:szCs w:val="22"/>
              </w:rPr>
              <w:t>,195</w:t>
            </w:r>
            <w:r w:rsidRPr="006329C2">
              <w:rPr>
                <w:rFonts w:asciiTheme="minorHAnsi" w:eastAsia="Calibri" w:hAnsiTheme="minorHAnsi" w:cstheme="minorHAnsi"/>
                <w:sz w:val="22"/>
                <w:szCs w:val="22"/>
                <w:lang w:val="en-US"/>
              </w:rPr>
              <w:t>)</w:t>
            </w:r>
          </w:p>
        </w:tc>
        <w:tc>
          <w:tcPr>
            <w:tcW w:w="293" w:type="pct"/>
            <w:tcBorders>
              <w:top w:val="nil"/>
              <w:left w:val="nil"/>
              <w:bottom w:val="single" w:sz="4" w:space="0" w:color="auto"/>
              <w:right w:val="nil"/>
            </w:tcBorders>
            <w:shd w:val="clear" w:color="auto" w:fill="FFFFFF"/>
            <w:vAlign w:val="center"/>
          </w:tcPr>
          <w:p w14:paraId="57AA6962"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lang w:val="en-US"/>
              </w:rPr>
            </w:pPr>
            <w:r w:rsidRPr="006329C2">
              <w:rPr>
                <w:rFonts w:asciiTheme="minorHAnsi" w:eastAsia="Calibri" w:hAnsiTheme="minorHAnsi" w:cstheme="minorHAnsi"/>
                <w:sz w:val="22"/>
                <w:szCs w:val="22"/>
                <w:lang w:val="en-US"/>
              </w:rPr>
              <w:t>0</w:t>
            </w:r>
            <w:r w:rsidRPr="006329C2">
              <w:rPr>
                <w:rFonts w:asciiTheme="minorHAnsi" w:eastAsia="Calibri" w:hAnsiTheme="minorHAnsi" w:cstheme="minorHAnsi"/>
                <w:sz w:val="22"/>
                <w:szCs w:val="22"/>
              </w:rPr>
              <w:t>,750</w:t>
            </w:r>
          </w:p>
        </w:tc>
        <w:tc>
          <w:tcPr>
            <w:tcW w:w="341" w:type="pct"/>
            <w:tcBorders>
              <w:top w:val="nil"/>
              <w:bottom w:val="single" w:sz="4" w:space="0" w:color="auto"/>
            </w:tcBorders>
            <w:shd w:val="clear" w:color="auto" w:fill="FFFFFF"/>
            <w:vAlign w:val="center"/>
          </w:tcPr>
          <w:p w14:paraId="3F99BD5A"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lang w:val="en-US"/>
              </w:rPr>
              <w:t>0,229</w:t>
            </w:r>
          </w:p>
        </w:tc>
        <w:tc>
          <w:tcPr>
            <w:tcW w:w="352" w:type="pct"/>
            <w:tcBorders>
              <w:top w:val="nil"/>
              <w:left w:val="nil"/>
              <w:bottom w:val="single" w:sz="4" w:space="0" w:color="auto"/>
              <w:right w:val="nil"/>
            </w:tcBorders>
            <w:shd w:val="clear" w:color="auto" w:fill="FFFFFF"/>
            <w:vAlign w:val="center"/>
          </w:tcPr>
          <w:p w14:paraId="0801FCFE" w14:textId="77777777" w:rsidR="00211A46" w:rsidRPr="006329C2" w:rsidRDefault="00211A46" w:rsidP="00E91AED">
            <w:pPr>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rPr>
              <w:t>638,251</w:t>
            </w:r>
          </w:p>
        </w:tc>
        <w:tc>
          <w:tcPr>
            <w:tcW w:w="352" w:type="pct"/>
            <w:tcBorders>
              <w:top w:val="nil"/>
              <w:bottom w:val="single" w:sz="4" w:space="0" w:color="auto"/>
            </w:tcBorders>
            <w:shd w:val="clear" w:color="auto" w:fill="FFFFFF"/>
            <w:vAlign w:val="center"/>
          </w:tcPr>
          <w:p w14:paraId="4F5340D6" w14:textId="77777777" w:rsidR="00211A46" w:rsidRPr="006329C2" w:rsidRDefault="00211A46" w:rsidP="00E91AED">
            <w:pPr>
              <w:keepNext/>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rPr>
              <w:t>755,177</w:t>
            </w:r>
          </w:p>
        </w:tc>
        <w:tc>
          <w:tcPr>
            <w:tcW w:w="323" w:type="pct"/>
            <w:tcBorders>
              <w:top w:val="nil"/>
              <w:left w:val="nil"/>
              <w:bottom w:val="single" w:sz="4" w:space="0" w:color="auto"/>
              <w:right w:val="nil"/>
            </w:tcBorders>
            <w:shd w:val="clear" w:color="auto" w:fill="FFFFFF"/>
            <w:vAlign w:val="center"/>
          </w:tcPr>
          <w:p w14:paraId="47EB4428" w14:textId="77777777" w:rsidR="00211A46" w:rsidRPr="006329C2" w:rsidRDefault="00211A46" w:rsidP="00E91AED">
            <w:pPr>
              <w:keepNext/>
              <w:autoSpaceDE w:val="0"/>
              <w:autoSpaceDN w:val="0"/>
              <w:adjustRightInd w:val="0"/>
              <w:jc w:val="center"/>
              <w:rPr>
                <w:rFonts w:asciiTheme="minorHAnsi" w:eastAsia="Calibri" w:hAnsiTheme="minorHAnsi" w:cstheme="minorHAnsi"/>
                <w:sz w:val="22"/>
                <w:szCs w:val="22"/>
              </w:rPr>
            </w:pPr>
            <w:r w:rsidRPr="006329C2">
              <w:rPr>
                <w:rFonts w:asciiTheme="minorHAnsi" w:eastAsia="Calibri" w:hAnsiTheme="minorHAnsi" w:cstheme="minorHAnsi"/>
                <w:sz w:val="22"/>
                <w:szCs w:val="22"/>
              </w:rPr>
              <w:t>2,627 (2,323-2,961)</w:t>
            </w:r>
          </w:p>
        </w:tc>
      </w:tr>
      <w:tr w:rsidR="007B5420" w:rsidRPr="006329C2" w14:paraId="44EDD12B" w14:textId="77777777" w:rsidTr="001921D6">
        <w:trPr>
          <w:trHeight w:val="796"/>
          <w:jc w:val="center"/>
        </w:trPr>
        <w:tc>
          <w:tcPr>
            <w:tcW w:w="5000" w:type="pct"/>
            <w:gridSpan w:val="16"/>
            <w:tcBorders>
              <w:top w:val="single" w:sz="4" w:space="0" w:color="auto"/>
              <w:bottom w:val="nil"/>
            </w:tcBorders>
            <w:shd w:val="clear" w:color="auto" w:fill="FFFFFF"/>
            <w:vAlign w:val="center"/>
          </w:tcPr>
          <w:p w14:paraId="08F90ED5" w14:textId="77777777" w:rsidR="007B5420" w:rsidRPr="006329C2" w:rsidRDefault="007B5420" w:rsidP="006A2B2B">
            <w:pPr>
              <w:jc w:val="both"/>
              <w:rPr>
                <w:rFonts w:asciiTheme="minorHAnsi" w:hAnsiTheme="minorHAnsi" w:cstheme="minorHAnsi"/>
                <w:bCs/>
                <w:sz w:val="22"/>
                <w:szCs w:val="22"/>
              </w:rPr>
            </w:pPr>
            <w:r w:rsidRPr="006329C2">
              <w:rPr>
                <w:rFonts w:asciiTheme="minorHAnsi" w:hAnsiTheme="minorHAnsi" w:cstheme="minorHAnsi"/>
                <w:bCs/>
                <w:sz w:val="22"/>
                <w:szCs w:val="22"/>
                <w:vertAlign w:val="superscript"/>
                <w:lang w:val="en-US"/>
              </w:rPr>
              <w:t>a</w:t>
            </w:r>
            <w:r w:rsidRPr="006329C2">
              <w:rPr>
                <w:rFonts w:asciiTheme="minorHAnsi" w:hAnsiTheme="minorHAnsi" w:cstheme="minorHAnsi"/>
                <w:bCs/>
                <w:sz w:val="22"/>
                <w:szCs w:val="22"/>
              </w:rPr>
              <w:t xml:space="preserve"> Υψηλές τιμές υποδεικνύουν καλύτερη προσαρμογή</w:t>
            </w:r>
          </w:p>
          <w:p w14:paraId="6EF4EB25" w14:textId="5872FC52" w:rsidR="007B5420" w:rsidRPr="006A2B2B" w:rsidRDefault="007B5420" w:rsidP="006A2B2B">
            <w:pPr>
              <w:pStyle w:val="Web"/>
              <w:spacing w:before="0" w:after="0"/>
              <w:jc w:val="both"/>
              <w:rPr>
                <w:lang w:val="el-GR"/>
              </w:rPr>
            </w:pPr>
            <w:r w:rsidRPr="006329C2">
              <w:rPr>
                <w:rFonts w:asciiTheme="minorHAnsi" w:hAnsiTheme="minorHAnsi" w:cstheme="minorHAnsi"/>
                <w:bCs/>
                <w:sz w:val="22"/>
                <w:szCs w:val="22"/>
                <w:vertAlign w:val="superscript"/>
                <w:lang w:val="en-US"/>
              </w:rPr>
              <w:t>b</w:t>
            </w:r>
            <w:r w:rsidRPr="006329C2">
              <w:rPr>
                <w:rFonts w:asciiTheme="minorHAnsi" w:hAnsiTheme="minorHAnsi" w:cstheme="minorHAnsi"/>
                <w:bCs/>
                <w:sz w:val="22"/>
                <w:szCs w:val="22"/>
                <w:vertAlign w:val="superscript"/>
                <w:lang w:val="el-GR"/>
              </w:rPr>
              <w:t xml:space="preserve"> </w:t>
            </w:r>
            <w:r w:rsidRPr="006329C2">
              <w:rPr>
                <w:rFonts w:asciiTheme="minorHAnsi" w:hAnsiTheme="minorHAnsi" w:cstheme="minorHAnsi"/>
                <w:bCs/>
                <w:sz w:val="22"/>
                <w:szCs w:val="22"/>
                <w:lang w:val="el-GR"/>
              </w:rPr>
              <w:t>Χαμηλές τιμές υποδεικνύουν καλύτερη προσαρμογή</w:t>
            </w:r>
          </w:p>
        </w:tc>
      </w:tr>
    </w:tbl>
    <w:p w14:paraId="2ED8CCC6" w14:textId="4DF6F0CD" w:rsidR="007F303C" w:rsidRPr="007F303C" w:rsidRDefault="007F303C" w:rsidP="007F303C">
      <w:pPr>
        <w:spacing w:before="240"/>
        <w:jc w:val="both"/>
        <w:rPr>
          <w:rFonts w:asciiTheme="minorHAnsi" w:eastAsia="Calibri" w:hAnsiTheme="minorHAnsi" w:cstheme="minorHAnsi"/>
          <w:color w:val="000000"/>
          <w:sz w:val="22"/>
          <w:szCs w:val="22"/>
        </w:rPr>
        <w:sectPr w:rsidR="007F303C" w:rsidRPr="007F303C" w:rsidSect="00CD0160">
          <w:type w:val="continuous"/>
          <w:pgSz w:w="16838" w:h="11906" w:orient="landscape"/>
          <w:pgMar w:top="1440" w:right="1800" w:bottom="1440" w:left="1800" w:header="709" w:footer="726" w:gutter="0"/>
          <w:cols w:space="720"/>
          <w:docGrid w:linePitch="360"/>
        </w:sectPr>
      </w:pPr>
    </w:p>
    <w:p w14:paraId="08B88739" w14:textId="77777777" w:rsidR="006628B5" w:rsidRPr="006628B5" w:rsidRDefault="00CE46EA" w:rsidP="006628B5">
      <w:pPr>
        <w:ind w:firstLine="284"/>
        <w:jc w:val="both"/>
        <w:rPr>
          <w:rFonts w:asciiTheme="minorHAnsi" w:hAnsiTheme="minorHAnsi" w:cstheme="minorHAnsi"/>
          <w:color w:val="FF0000"/>
          <w:sz w:val="22"/>
          <w:szCs w:val="22"/>
          <w:lang w:eastAsia="el-GR"/>
        </w:rPr>
      </w:pPr>
      <w:r w:rsidRPr="00CE46EA">
        <w:rPr>
          <w:rFonts w:asciiTheme="minorHAnsi" w:hAnsiTheme="minorHAnsi" w:cstheme="minorHAnsi"/>
          <w:bCs/>
          <w:color w:val="FF0000"/>
          <w:sz w:val="22"/>
          <w:szCs w:val="22"/>
          <w:lang w:eastAsia="el-GR"/>
        </w:rPr>
        <w:lastRenderedPageBreak/>
        <w:t xml:space="preserve">Εν κατακλείδι, </w:t>
      </w:r>
      <w:r>
        <w:rPr>
          <w:rFonts w:asciiTheme="minorHAnsi" w:hAnsiTheme="minorHAnsi" w:cstheme="minorHAnsi"/>
          <w:bCs/>
          <w:color w:val="FF0000"/>
          <w:sz w:val="22"/>
          <w:szCs w:val="22"/>
          <w:lang w:eastAsia="el-GR"/>
        </w:rPr>
        <w:t xml:space="preserve">από την παραπάνω </w:t>
      </w:r>
      <w:r w:rsidR="006628B5">
        <w:rPr>
          <w:rFonts w:asciiTheme="minorHAnsi" w:hAnsiTheme="minorHAnsi" w:cstheme="minorHAnsi"/>
          <w:bCs/>
          <w:color w:val="FF0000"/>
          <w:sz w:val="22"/>
          <w:szCs w:val="22"/>
          <w:lang w:eastAsia="el-GR"/>
        </w:rPr>
        <w:t>στατιστικές αναλύσεις το εργαλείο παρουσιάζει πολύ μεγάλη εγκυρότητα και αξιοπιστία</w:t>
      </w:r>
      <w:r>
        <w:rPr>
          <w:rFonts w:asciiTheme="minorHAnsi" w:hAnsiTheme="minorHAnsi" w:cstheme="minorHAnsi"/>
          <w:bCs/>
          <w:color w:val="FF0000"/>
          <w:sz w:val="22"/>
          <w:szCs w:val="22"/>
          <w:lang w:eastAsia="el-GR"/>
        </w:rPr>
        <w:t xml:space="preserve"> </w:t>
      </w:r>
      <w:r w:rsidR="006628B5">
        <w:rPr>
          <w:rFonts w:asciiTheme="minorHAnsi" w:hAnsiTheme="minorHAnsi" w:cstheme="minorHAnsi"/>
          <w:bCs/>
          <w:color w:val="FF0000"/>
          <w:sz w:val="22"/>
          <w:szCs w:val="22"/>
          <w:lang w:eastAsia="el-GR"/>
        </w:rPr>
        <w:t xml:space="preserve">και αποτελείται από 13 </w:t>
      </w:r>
      <w:r>
        <w:rPr>
          <w:rFonts w:asciiTheme="minorHAnsi" w:hAnsiTheme="minorHAnsi" w:cstheme="minorHAnsi"/>
          <w:bCs/>
          <w:color w:val="FF0000"/>
          <w:sz w:val="22"/>
          <w:szCs w:val="22"/>
          <w:lang w:eastAsia="el-GR"/>
        </w:rPr>
        <w:t xml:space="preserve">προτάσεις </w:t>
      </w:r>
      <w:r w:rsidR="006628B5" w:rsidRPr="006628B5">
        <w:rPr>
          <w:rFonts w:asciiTheme="minorHAnsi" w:hAnsiTheme="minorHAnsi" w:cstheme="minorHAnsi"/>
          <w:color w:val="FF0000"/>
          <w:sz w:val="22"/>
          <w:szCs w:val="22"/>
          <w:lang w:eastAsia="el-GR"/>
        </w:rPr>
        <w:t>κατανεμημένες σε τρεις συνιστώσες:</w:t>
      </w:r>
    </w:p>
    <w:p w14:paraId="78DEFEF1" w14:textId="71A9EF72" w:rsidR="006628B5" w:rsidRPr="006628B5" w:rsidRDefault="006628B5" w:rsidP="006628B5">
      <w:pPr>
        <w:numPr>
          <w:ilvl w:val="0"/>
          <w:numId w:val="34"/>
        </w:numPr>
        <w:suppressAutoHyphens w:val="0"/>
        <w:jc w:val="both"/>
        <w:rPr>
          <w:rFonts w:asciiTheme="minorHAnsi" w:hAnsiTheme="minorHAnsi" w:cstheme="minorHAnsi"/>
          <w:color w:val="FF0000"/>
          <w:sz w:val="22"/>
          <w:szCs w:val="22"/>
          <w:lang w:eastAsia="el-GR"/>
        </w:rPr>
      </w:pPr>
      <w:r w:rsidRPr="006628B5">
        <w:rPr>
          <w:rFonts w:asciiTheme="minorHAnsi" w:hAnsiTheme="minorHAnsi" w:cstheme="minorHAnsi"/>
          <w:bCs/>
          <w:color w:val="FF0000"/>
          <w:sz w:val="22"/>
          <w:szCs w:val="22"/>
          <w:lang w:eastAsia="el-GR"/>
        </w:rPr>
        <w:t>Ανάπτυξη κοινωνικής αλληλεπίδρασης</w:t>
      </w:r>
      <w:r w:rsidRPr="006628B5">
        <w:rPr>
          <w:rFonts w:asciiTheme="minorHAnsi" w:hAnsiTheme="minorHAnsi" w:cstheme="minorHAnsi"/>
          <w:color w:val="FF0000"/>
          <w:sz w:val="22"/>
          <w:szCs w:val="22"/>
          <w:lang w:eastAsia="el-GR"/>
        </w:rPr>
        <w:t xml:space="preserve"> </w:t>
      </w:r>
      <w:r>
        <w:rPr>
          <w:rFonts w:asciiTheme="minorHAnsi" w:hAnsiTheme="minorHAnsi" w:cstheme="minorHAnsi"/>
          <w:color w:val="FF0000"/>
          <w:sz w:val="22"/>
          <w:szCs w:val="22"/>
          <w:lang w:eastAsia="el-GR"/>
        </w:rPr>
        <w:t xml:space="preserve">7 προτάσεις (τα άτομα με αναπηρία μπορούν να έχουν φιλικές σχέσεις με τους γείτονες, να περνούν ελεύθερο χρόνο με άλλα </w:t>
      </w:r>
      <w:r w:rsidR="001D7392">
        <w:rPr>
          <w:rFonts w:asciiTheme="minorHAnsi" w:hAnsiTheme="minorHAnsi" w:cstheme="minorHAnsi"/>
          <w:color w:val="FF0000"/>
          <w:sz w:val="22"/>
          <w:szCs w:val="22"/>
          <w:lang w:eastAsia="el-GR"/>
        </w:rPr>
        <w:t xml:space="preserve">συνομήλικα </w:t>
      </w:r>
      <w:r>
        <w:rPr>
          <w:rFonts w:asciiTheme="minorHAnsi" w:hAnsiTheme="minorHAnsi" w:cstheme="minorHAnsi"/>
          <w:color w:val="FF0000"/>
          <w:sz w:val="22"/>
          <w:szCs w:val="22"/>
          <w:lang w:eastAsia="el-GR"/>
        </w:rPr>
        <w:t>άτομα</w:t>
      </w:r>
      <w:r w:rsidR="001D7392">
        <w:rPr>
          <w:rFonts w:asciiTheme="minorHAnsi" w:hAnsiTheme="minorHAnsi" w:cstheme="minorHAnsi"/>
          <w:color w:val="FF0000"/>
          <w:sz w:val="22"/>
          <w:szCs w:val="22"/>
          <w:lang w:eastAsia="el-GR"/>
        </w:rPr>
        <w:t>, να περνούν ελεύθερο χρόνο</w:t>
      </w:r>
      <w:r>
        <w:rPr>
          <w:rFonts w:asciiTheme="minorHAnsi" w:hAnsiTheme="minorHAnsi" w:cstheme="minorHAnsi"/>
          <w:color w:val="FF0000"/>
          <w:sz w:val="22"/>
          <w:szCs w:val="22"/>
          <w:lang w:eastAsia="el-GR"/>
        </w:rPr>
        <w:t xml:space="preserve"> με την οικογένειά τους, να έχουν ερωτικές σχέσεις, να πηγαίνουν στο γυμναστήριο της γειτονιά τους, να συμμετέχουν σε ομάδες με άλλα συνομήλικα άτομα)</w:t>
      </w:r>
    </w:p>
    <w:p w14:paraId="25364CB9" w14:textId="77777777" w:rsidR="005D63A7" w:rsidRDefault="006628B5" w:rsidP="005D63A7">
      <w:pPr>
        <w:numPr>
          <w:ilvl w:val="0"/>
          <w:numId w:val="34"/>
        </w:numPr>
        <w:suppressAutoHyphens w:val="0"/>
        <w:jc w:val="both"/>
        <w:rPr>
          <w:rFonts w:asciiTheme="minorHAnsi" w:hAnsiTheme="minorHAnsi" w:cstheme="minorHAnsi"/>
          <w:color w:val="FF0000"/>
          <w:sz w:val="22"/>
          <w:szCs w:val="22"/>
          <w:lang w:eastAsia="el-GR"/>
        </w:rPr>
      </w:pPr>
      <w:r w:rsidRPr="006628B5">
        <w:rPr>
          <w:rFonts w:asciiTheme="minorHAnsi" w:hAnsiTheme="minorHAnsi" w:cstheme="minorHAnsi"/>
          <w:bCs/>
          <w:color w:val="FF0000"/>
          <w:sz w:val="22"/>
          <w:szCs w:val="22"/>
          <w:lang w:eastAsia="el-GR"/>
        </w:rPr>
        <w:t>Αρνητικές στάσεις και προκαταλήψεις</w:t>
      </w:r>
      <w:r w:rsidRPr="006628B5">
        <w:rPr>
          <w:rFonts w:asciiTheme="minorHAnsi" w:hAnsiTheme="minorHAnsi" w:cstheme="minorHAnsi"/>
          <w:color w:val="FF0000"/>
          <w:sz w:val="22"/>
          <w:szCs w:val="22"/>
          <w:lang w:eastAsia="el-GR"/>
        </w:rPr>
        <w:t xml:space="preserve"> που εξακολουθούν να επηρεάζουν τη συμπεριφορά 3 προτάσεις</w:t>
      </w:r>
      <w:r>
        <w:rPr>
          <w:rFonts w:asciiTheme="minorHAnsi" w:hAnsiTheme="minorHAnsi" w:cstheme="minorHAnsi"/>
          <w:color w:val="FF0000"/>
          <w:sz w:val="22"/>
          <w:szCs w:val="22"/>
          <w:lang w:eastAsia="el-GR"/>
        </w:rPr>
        <w:t xml:space="preserve"> ( οι άνθρωποι γίνονται ανυπόμονοι με τα άτομα με αναπηρία, συνηθίζουν να αντιμετωπίζουν τα άτομα με αναπηρία σαν να μην έχουν αισθήματα, περιπαίζουν τα άτομα με αναπηρία).</w:t>
      </w:r>
    </w:p>
    <w:p w14:paraId="07EC2AD2" w14:textId="36FD0F07" w:rsidR="00CE46EA" w:rsidRPr="005D63A7" w:rsidRDefault="006628B5" w:rsidP="005D63A7">
      <w:pPr>
        <w:numPr>
          <w:ilvl w:val="0"/>
          <w:numId w:val="34"/>
        </w:numPr>
        <w:suppressAutoHyphens w:val="0"/>
        <w:jc w:val="both"/>
        <w:rPr>
          <w:rFonts w:asciiTheme="minorHAnsi" w:hAnsiTheme="minorHAnsi" w:cstheme="minorHAnsi"/>
          <w:color w:val="FF0000"/>
          <w:sz w:val="22"/>
          <w:szCs w:val="22"/>
          <w:lang w:eastAsia="el-GR"/>
        </w:rPr>
      </w:pPr>
      <w:r w:rsidRPr="005D63A7">
        <w:rPr>
          <w:rFonts w:asciiTheme="minorHAnsi" w:hAnsiTheme="minorHAnsi" w:cstheme="minorHAnsi"/>
          <w:bCs/>
          <w:color w:val="FF0000"/>
          <w:sz w:val="22"/>
          <w:szCs w:val="22"/>
          <w:lang w:eastAsia="el-GR"/>
        </w:rPr>
        <w:t>Κοινωνική ένταξη</w:t>
      </w:r>
      <w:r w:rsidRPr="005D63A7">
        <w:rPr>
          <w:rFonts w:asciiTheme="minorHAnsi" w:hAnsiTheme="minorHAnsi" w:cstheme="minorHAnsi"/>
          <w:color w:val="FF0000"/>
          <w:sz w:val="22"/>
          <w:szCs w:val="22"/>
          <w:lang w:eastAsia="el-GR"/>
        </w:rPr>
        <w:t xml:space="preserve"> 3 προτάσεις (τα άτομα με αναπηρία δυσκολεύονται να ενταχθούν στην κοινωνία, να κάνουν φίλους, πρέπει πάντα </w:t>
      </w:r>
      <w:r w:rsidR="00503C1B" w:rsidRPr="005D63A7">
        <w:rPr>
          <w:rFonts w:asciiTheme="minorHAnsi" w:hAnsiTheme="minorHAnsi" w:cstheme="minorHAnsi"/>
          <w:color w:val="FF0000"/>
          <w:sz w:val="22"/>
          <w:szCs w:val="22"/>
          <w:lang w:eastAsia="el-GR"/>
        </w:rPr>
        <w:t>να είναι μαζί τους και κάποιος άλλος).</w:t>
      </w:r>
    </w:p>
    <w:p w14:paraId="190CB2CE" w14:textId="2217D8FD" w:rsidR="007B4619" w:rsidRPr="007B4619" w:rsidRDefault="007B4619" w:rsidP="005D63A7">
      <w:pPr>
        <w:spacing w:before="240"/>
        <w:ind w:left="284"/>
        <w:rPr>
          <w:rFonts w:asciiTheme="minorHAnsi" w:hAnsiTheme="minorHAnsi" w:cstheme="minorHAnsi"/>
          <w:b/>
          <w:sz w:val="22"/>
          <w:szCs w:val="22"/>
          <w:lang w:eastAsia="el-GR"/>
        </w:rPr>
      </w:pPr>
      <w:r w:rsidRPr="007B4619">
        <w:rPr>
          <w:rFonts w:asciiTheme="minorHAnsi" w:hAnsiTheme="minorHAnsi" w:cstheme="minorHAnsi"/>
          <w:b/>
          <w:sz w:val="22"/>
          <w:szCs w:val="22"/>
          <w:lang w:eastAsia="el-GR"/>
        </w:rPr>
        <w:t>Συζήτηση- Συμπεράσματα</w:t>
      </w:r>
    </w:p>
    <w:p w14:paraId="0B1C8E70" w14:textId="77777777" w:rsidR="007B4619" w:rsidRDefault="007B4619" w:rsidP="000F192F">
      <w:pPr>
        <w:ind w:firstLine="284"/>
        <w:jc w:val="both"/>
        <w:rPr>
          <w:rFonts w:asciiTheme="minorHAnsi" w:hAnsiTheme="minorHAnsi" w:cstheme="minorHAnsi"/>
          <w:sz w:val="22"/>
          <w:szCs w:val="22"/>
          <w:lang w:eastAsia="el-GR"/>
        </w:rPr>
      </w:pPr>
      <w:r w:rsidRPr="00900F1B">
        <w:rPr>
          <w:rFonts w:asciiTheme="minorHAnsi" w:hAnsiTheme="minorHAnsi" w:cstheme="minorHAnsi"/>
          <w:sz w:val="22"/>
          <w:szCs w:val="22"/>
          <w:lang w:eastAsia="el-GR"/>
        </w:rPr>
        <w:t>Η συμμετοχή των ατόμων με αναπηρία σε όλες τις πτυχές της κοινωνικής ζωής εξακολουθεί να αποτελεί αντικείμενο συστηματικής διερεύνησης, καθώς πλήθος παραγόντων συνεχίζει να παρεμποδίζει την ουσιαστική κοινωνική τους ένταξη και συμπερίληψη. Κεντρικό εμπόδιο προς αυτή την κατεύθυνση συνιστούν οι κυρίαρχες κοινωνικές αντιλήψεις του γενικού πληθυσμού, οι οποίες, παρά τις διεθνείς διακηρύξεις για την κοινωνική ισότητα, την ψήφιση σχετικής νομοθεσίας και τη γενικότερη ευαισθητοποίηση της κοινής γνώμης, παραμένουν συχνά αρνητικές ή προκατειλημμένες. Ενδεικτικά, ενώ σε θεωρητικό επίπεδο τα άτομα χωρίς αναπηρία εκφράζουν συναίνεση στην αρχή της ισότιμης συμμετοχής των ατόμων με αναπηρία στην κοινωνία, με τα ίδια δικαιώματα και υποχρεώσεις, σε πραγματικές κοινωνικές συνθήκες οι στάσεις αυτές συχνά μεταβάλλονται προς μια αρνητική κατεύθυνση (</w:t>
      </w:r>
      <w:proofErr w:type="spellStart"/>
      <w:r w:rsidRPr="00900F1B">
        <w:rPr>
          <w:rFonts w:asciiTheme="minorHAnsi" w:hAnsiTheme="minorHAnsi" w:cstheme="minorHAnsi"/>
          <w:sz w:val="22"/>
          <w:szCs w:val="22"/>
          <w:lang w:eastAsia="el-GR"/>
        </w:rPr>
        <w:t>Chapman</w:t>
      </w:r>
      <w:proofErr w:type="spellEnd"/>
      <w:r w:rsidRPr="00900F1B">
        <w:rPr>
          <w:rFonts w:asciiTheme="minorHAnsi" w:hAnsiTheme="minorHAnsi" w:cstheme="minorHAnsi"/>
          <w:sz w:val="22"/>
          <w:szCs w:val="22"/>
          <w:lang w:eastAsia="el-GR"/>
        </w:rPr>
        <w:t xml:space="preserve"> </w:t>
      </w:r>
      <w:proofErr w:type="spellStart"/>
      <w:r w:rsidRPr="00900F1B">
        <w:rPr>
          <w:rFonts w:asciiTheme="minorHAnsi" w:hAnsiTheme="minorHAnsi" w:cstheme="minorHAnsi"/>
          <w:sz w:val="22"/>
          <w:szCs w:val="22"/>
          <w:lang w:eastAsia="el-GR"/>
        </w:rPr>
        <w:t>et</w:t>
      </w:r>
      <w:proofErr w:type="spellEnd"/>
      <w:r w:rsidRPr="00900F1B">
        <w:rPr>
          <w:rFonts w:asciiTheme="minorHAnsi" w:hAnsiTheme="minorHAnsi" w:cstheme="minorHAnsi"/>
          <w:sz w:val="22"/>
          <w:szCs w:val="22"/>
          <w:lang w:eastAsia="el-GR"/>
        </w:rPr>
        <w:t xml:space="preserve"> </w:t>
      </w:r>
      <w:proofErr w:type="spellStart"/>
      <w:r w:rsidRPr="00900F1B">
        <w:rPr>
          <w:rFonts w:asciiTheme="minorHAnsi" w:hAnsiTheme="minorHAnsi" w:cstheme="minorHAnsi"/>
          <w:sz w:val="22"/>
          <w:szCs w:val="22"/>
          <w:lang w:eastAsia="el-GR"/>
        </w:rPr>
        <w:t>al</w:t>
      </w:r>
      <w:proofErr w:type="spellEnd"/>
      <w:r w:rsidRPr="00900F1B">
        <w:rPr>
          <w:rFonts w:asciiTheme="minorHAnsi" w:hAnsiTheme="minorHAnsi" w:cstheme="minorHAnsi"/>
          <w:sz w:val="22"/>
          <w:szCs w:val="22"/>
          <w:lang w:eastAsia="el-GR"/>
        </w:rPr>
        <w:t>., 2023).</w:t>
      </w:r>
    </w:p>
    <w:p w14:paraId="66117830" w14:textId="77777777" w:rsidR="007B4619" w:rsidRDefault="007B4619" w:rsidP="007B4619">
      <w:pPr>
        <w:ind w:firstLine="284"/>
        <w:jc w:val="both"/>
        <w:rPr>
          <w:rFonts w:asciiTheme="minorHAnsi" w:hAnsiTheme="minorHAnsi" w:cstheme="minorHAnsi"/>
          <w:sz w:val="22"/>
          <w:szCs w:val="22"/>
          <w:lang w:eastAsia="el-GR"/>
        </w:rPr>
      </w:pPr>
      <w:r w:rsidRPr="00900F1B">
        <w:rPr>
          <w:rFonts w:asciiTheme="minorHAnsi" w:hAnsiTheme="minorHAnsi" w:cstheme="minorHAnsi"/>
          <w:sz w:val="22"/>
          <w:szCs w:val="22"/>
          <w:lang w:eastAsia="el-GR"/>
        </w:rPr>
        <w:t>Η αυτονομία στη διαχείριση της προσωπικής καθημερινότητας αποτελεί θεμελιώδη ανθρώπινη ανάγκη και δικαίωμα. Επομένως, η ύπαρξη κοινωνικών φραγμών που περιορίζουν αυτή τη δυνατότητα καθίσταται αντιφατική, ιδίως όταν τα άτομα με αναπηρία δύνανται να ανταποκριθούν αυτόνομα στις βασικές απαιτήσεις της ζωής τους. Στο πλαίσιο αυτό, ερευνητικά δεδομένα υποστηρίζουν ότι η διευκόλυνση της οργάνωσης της καθημερινότητας των ατόμων με αναπηρία (</w:t>
      </w:r>
      <w:proofErr w:type="spellStart"/>
      <w:r w:rsidRPr="00900F1B">
        <w:rPr>
          <w:rFonts w:asciiTheme="minorHAnsi" w:hAnsiTheme="minorHAnsi" w:cstheme="minorHAnsi"/>
          <w:sz w:val="22"/>
          <w:szCs w:val="22"/>
          <w:lang w:eastAsia="el-GR"/>
        </w:rPr>
        <w:t>Estreder</w:t>
      </w:r>
      <w:proofErr w:type="spellEnd"/>
      <w:r w:rsidRPr="00900F1B">
        <w:rPr>
          <w:rFonts w:asciiTheme="minorHAnsi" w:hAnsiTheme="minorHAnsi" w:cstheme="minorHAnsi"/>
          <w:sz w:val="22"/>
          <w:szCs w:val="22"/>
          <w:lang w:eastAsia="el-GR"/>
        </w:rPr>
        <w:t xml:space="preserve"> </w:t>
      </w:r>
      <w:proofErr w:type="spellStart"/>
      <w:r w:rsidRPr="00900F1B">
        <w:rPr>
          <w:rFonts w:asciiTheme="minorHAnsi" w:hAnsiTheme="minorHAnsi" w:cstheme="minorHAnsi"/>
          <w:sz w:val="22"/>
          <w:szCs w:val="22"/>
          <w:lang w:eastAsia="el-GR"/>
        </w:rPr>
        <w:t>et</w:t>
      </w:r>
      <w:proofErr w:type="spellEnd"/>
      <w:r w:rsidRPr="00900F1B">
        <w:rPr>
          <w:rFonts w:asciiTheme="minorHAnsi" w:hAnsiTheme="minorHAnsi" w:cstheme="minorHAnsi"/>
          <w:sz w:val="22"/>
          <w:szCs w:val="22"/>
          <w:lang w:eastAsia="el-GR"/>
        </w:rPr>
        <w:t xml:space="preserve"> </w:t>
      </w:r>
      <w:proofErr w:type="spellStart"/>
      <w:r w:rsidRPr="00900F1B">
        <w:rPr>
          <w:rFonts w:asciiTheme="minorHAnsi" w:hAnsiTheme="minorHAnsi" w:cstheme="minorHAnsi"/>
          <w:sz w:val="22"/>
          <w:szCs w:val="22"/>
          <w:lang w:eastAsia="el-GR"/>
        </w:rPr>
        <w:t>al</w:t>
      </w:r>
      <w:proofErr w:type="spellEnd"/>
      <w:r w:rsidRPr="00900F1B">
        <w:rPr>
          <w:rFonts w:asciiTheme="minorHAnsi" w:hAnsiTheme="minorHAnsi" w:cstheme="minorHAnsi"/>
          <w:sz w:val="22"/>
          <w:szCs w:val="22"/>
          <w:lang w:eastAsia="el-GR"/>
        </w:rPr>
        <w:t>., 2024) συνδέεται άμεσα με την ποιότητα ζωής τους (</w:t>
      </w:r>
      <w:proofErr w:type="spellStart"/>
      <w:r w:rsidRPr="00900F1B">
        <w:rPr>
          <w:rFonts w:asciiTheme="minorHAnsi" w:hAnsiTheme="minorHAnsi" w:cstheme="minorHAnsi"/>
          <w:sz w:val="22"/>
          <w:szCs w:val="22"/>
          <w:lang w:eastAsia="el-GR"/>
        </w:rPr>
        <w:t>Lachapelle</w:t>
      </w:r>
      <w:proofErr w:type="spellEnd"/>
      <w:r w:rsidRPr="00900F1B">
        <w:rPr>
          <w:rFonts w:asciiTheme="minorHAnsi" w:hAnsiTheme="minorHAnsi" w:cstheme="minorHAnsi"/>
          <w:sz w:val="22"/>
          <w:szCs w:val="22"/>
          <w:lang w:eastAsia="el-GR"/>
        </w:rPr>
        <w:t xml:space="preserve"> </w:t>
      </w:r>
      <w:proofErr w:type="spellStart"/>
      <w:r w:rsidRPr="00900F1B">
        <w:rPr>
          <w:rFonts w:asciiTheme="minorHAnsi" w:hAnsiTheme="minorHAnsi" w:cstheme="minorHAnsi"/>
          <w:sz w:val="22"/>
          <w:szCs w:val="22"/>
          <w:lang w:eastAsia="el-GR"/>
        </w:rPr>
        <w:t>et</w:t>
      </w:r>
      <w:proofErr w:type="spellEnd"/>
      <w:r w:rsidRPr="00900F1B">
        <w:rPr>
          <w:rFonts w:asciiTheme="minorHAnsi" w:hAnsiTheme="minorHAnsi" w:cstheme="minorHAnsi"/>
          <w:sz w:val="22"/>
          <w:szCs w:val="22"/>
          <w:lang w:eastAsia="el-GR"/>
        </w:rPr>
        <w:t xml:space="preserve"> </w:t>
      </w:r>
      <w:proofErr w:type="spellStart"/>
      <w:r w:rsidRPr="00900F1B">
        <w:rPr>
          <w:rFonts w:asciiTheme="minorHAnsi" w:hAnsiTheme="minorHAnsi" w:cstheme="minorHAnsi"/>
          <w:sz w:val="22"/>
          <w:szCs w:val="22"/>
          <w:lang w:eastAsia="el-GR"/>
        </w:rPr>
        <w:t>al</w:t>
      </w:r>
      <w:proofErr w:type="spellEnd"/>
      <w:r w:rsidRPr="00900F1B">
        <w:rPr>
          <w:rFonts w:asciiTheme="minorHAnsi" w:hAnsiTheme="minorHAnsi" w:cstheme="minorHAnsi"/>
          <w:sz w:val="22"/>
          <w:szCs w:val="22"/>
          <w:lang w:eastAsia="el-GR"/>
        </w:rPr>
        <w:t>., 2005).</w:t>
      </w:r>
    </w:p>
    <w:p w14:paraId="185F2686" w14:textId="32938FFA" w:rsidR="007B4619" w:rsidRPr="00900F1B" w:rsidRDefault="007B4619" w:rsidP="00503C1B">
      <w:pPr>
        <w:ind w:firstLine="284"/>
        <w:jc w:val="both"/>
        <w:rPr>
          <w:rFonts w:asciiTheme="minorHAnsi" w:hAnsiTheme="minorHAnsi" w:cstheme="minorHAnsi"/>
          <w:sz w:val="22"/>
          <w:szCs w:val="22"/>
          <w:lang w:eastAsia="el-GR"/>
        </w:rPr>
      </w:pPr>
      <w:r w:rsidRPr="00900F1B">
        <w:rPr>
          <w:rFonts w:asciiTheme="minorHAnsi" w:hAnsiTheme="minorHAnsi" w:cstheme="minorHAnsi"/>
          <w:sz w:val="22"/>
          <w:szCs w:val="22"/>
          <w:lang w:eastAsia="el-GR"/>
        </w:rPr>
        <w:t xml:space="preserve">Με γνώμονα τα παραπάνω και στηριζόμενοι στη σύγχρονη βιβλιογραφία, συγκεντρώθηκαν και αναλύθηκαν δεδομένα με σκοπό τη δημιουργία ενός ερευνητικού εργαλείου για τη μελλοντική διερεύνηση της </w:t>
      </w:r>
      <w:proofErr w:type="spellStart"/>
      <w:r w:rsidRPr="00900F1B">
        <w:rPr>
          <w:rFonts w:asciiTheme="minorHAnsi" w:hAnsiTheme="minorHAnsi" w:cstheme="minorHAnsi"/>
          <w:sz w:val="22"/>
          <w:szCs w:val="22"/>
          <w:lang w:eastAsia="el-GR"/>
        </w:rPr>
        <w:t>προτιθέμενης</w:t>
      </w:r>
      <w:proofErr w:type="spellEnd"/>
      <w:r w:rsidRPr="00900F1B">
        <w:rPr>
          <w:rFonts w:asciiTheme="minorHAnsi" w:hAnsiTheme="minorHAnsi" w:cstheme="minorHAnsi"/>
          <w:sz w:val="22"/>
          <w:szCs w:val="22"/>
          <w:lang w:eastAsia="el-GR"/>
        </w:rPr>
        <w:t xml:space="preserve"> συμπεριφοράς του γενικού πληθυσμού απέναντι στο ενδεχόμενο αυτονόμησης και ανεξάρτητης διαβίωσης των ατόμων με αναπηρία. Το εργαλείο απευθύνεται σε περιπτώσεις ατόμων με αναπηρία που δύνανται να ανταποκριθούν αυτόνομα στις βασικές τους ανάγκες.</w:t>
      </w:r>
      <w:r w:rsidR="000E51EC">
        <w:rPr>
          <w:rFonts w:asciiTheme="minorHAnsi" w:hAnsiTheme="minorHAnsi" w:cstheme="minorHAnsi"/>
          <w:sz w:val="22"/>
          <w:szCs w:val="22"/>
          <w:lang w:eastAsia="el-GR"/>
        </w:rPr>
        <w:t xml:space="preserve"> </w:t>
      </w:r>
    </w:p>
    <w:p w14:paraId="46ED9A37" w14:textId="5775A2FD" w:rsidR="007B4619" w:rsidRDefault="007B4619" w:rsidP="000F192F">
      <w:pPr>
        <w:ind w:firstLine="284"/>
        <w:jc w:val="both"/>
        <w:rPr>
          <w:rFonts w:asciiTheme="minorHAnsi" w:hAnsiTheme="minorHAnsi" w:cstheme="minorHAnsi"/>
          <w:sz w:val="22"/>
          <w:szCs w:val="22"/>
          <w:lang w:eastAsia="el-GR"/>
        </w:rPr>
      </w:pPr>
      <w:r w:rsidRPr="00900F1B">
        <w:rPr>
          <w:rFonts w:asciiTheme="minorHAnsi" w:hAnsiTheme="minorHAnsi" w:cstheme="minorHAnsi"/>
          <w:sz w:val="22"/>
          <w:szCs w:val="22"/>
          <w:lang w:eastAsia="el-GR"/>
        </w:rPr>
        <w:t>Ιδιαίτερη έμφαση δόθηκε στην ανάπτυξη κοινωνικής αλληλεπίδρασης, δεδομένου ότι οι διαπροσωπικές σχέσεις συνιστούν ουσιώδη διάσταση της ποιότητας ζωής των ατόμων με αναπηρία, όπως έχει ήδη τεκμηριωθεί στη βιβλιογραφία. Έχει υποστηριχθεί ότι οι κοινωνικές σχέσεις συμβάλλουν στον περιορισμό των αρνητικών επιπτώσεων που απορρέουν από τη μοναξιά (</w:t>
      </w:r>
      <w:proofErr w:type="spellStart"/>
      <w:r w:rsidRPr="00900F1B">
        <w:rPr>
          <w:rFonts w:asciiTheme="minorHAnsi" w:hAnsiTheme="minorHAnsi" w:cstheme="minorHAnsi"/>
          <w:sz w:val="22"/>
          <w:szCs w:val="22"/>
          <w:lang w:eastAsia="el-GR"/>
        </w:rPr>
        <w:t>Scott</w:t>
      </w:r>
      <w:proofErr w:type="spellEnd"/>
      <w:r w:rsidRPr="00900F1B">
        <w:rPr>
          <w:rFonts w:asciiTheme="minorHAnsi" w:hAnsiTheme="minorHAnsi" w:cstheme="minorHAnsi"/>
          <w:sz w:val="22"/>
          <w:szCs w:val="22"/>
          <w:lang w:eastAsia="el-GR"/>
        </w:rPr>
        <w:t xml:space="preserve"> &amp; </w:t>
      </w:r>
      <w:proofErr w:type="spellStart"/>
      <w:r w:rsidRPr="00900F1B">
        <w:rPr>
          <w:rFonts w:asciiTheme="minorHAnsi" w:hAnsiTheme="minorHAnsi" w:cstheme="minorHAnsi"/>
          <w:sz w:val="22"/>
          <w:szCs w:val="22"/>
          <w:lang w:eastAsia="el-GR"/>
        </w:rPr>
        <w:t>Havercamp</w:t>
      </w:r>
      <w:proofErr w:type="spellEnd"/>
      <w:r w:rsidRPr="00900F1B">
        <w:rPr>
          <w:rFonts w:asciiTheme="minorHAnsi" w:hAnsiTheme="minorHAnsi" w:cstheme="minorHAnsi"/>
          <w:sz w:val="22"/>
          <w:szCs w:val="22"/>
          <w:lang w:eastAsia="el-GR"/>
        </w:rPr>
        <w:t xml:space="preserve">, 2014), προάγουν την κοινωνική ένταξη (Johnson, </w:t>
      </w:r>
      <w:r w:rsidR="000E51EC">
        <w:rPr>
          <w:rFonts w:asciiTheme="minorHAnsi" w:hAnsiTheme="minorHAnsi" w:cstheme="minorHAnsi"/>
          <w:sz w:val="22"/>
          <w:szCs w:val="22"/>
          <w:lang w:val="en-US" w:eastAsia="el-GR"/>
        </w:rPr>
        <w:t>et</w:t>
      </w:r>
      <w:r w:rsidR="000E51EC" w:rsidRPr="000E51EC">
        <w:rPr>
          <w:rFonts w:asciiTheme="minorHAnsi" w:hAnsiTheme="minorHAnsi" w:cstheme="minorHAnsi"/>
          <w:sz w:val="22"/>
          <w:szCs w:val="22"/>
          <w:lang w:eastAsia="el-GR"/>
        </w:rPr>
        <w:t xml:space="preserve"> </w:t>
      </w:r>
      <w:r w:rsidR="000E51EC">
        <w:rPr>
          <w:rFonts w:asciiTheme="minorHAnsi" w:hAnsiTheme="minorHAnsi" w:cstheme="minorHAnsi"/>
          <w:sz w:val="22"/>
          <w:szCs w:val="22"/>
          <w:lang w:val="en-US" w:eastAsia="el-GR"/>
        </w:rPr>
        <w:t>al</w:t>
      </w:r>
      <w:r w:rsidR="000E51EC" w:rsidRPr="000E51EC">
        <w:rPr>
          <w:rFonts w:asciiTheme="minorHAnsi" w:hAnsiTheme="minorHAnsi" w:cstheme="minorHAnsi"/>
          <w:sz w:val="22"/>
          <w:szCs w:val="22"/>
          <w:lang w:eastAsia="el-GR"/>
        </w:rPr>
        <w:t xml:space="preserve">., </w:t>
      </w:r>
      <w:r w:rsidRPr="00900F1B">
        <w:rPr>
          <w:rFonts w:asciiTheme="minorHAnsi" w:hAnsiTheme="minorHAnsi" w:cstheme="minorHAnsi"/>
          <w:sz w:val="22"/>
          <w:szCs w:val="22"/>
          <w:lang w:eastAsia="el-GR"/>
        </w:rPr>
        <w:t>2010) και ενισχύουν την ενεργό κοινωνική συμμετοχή (</w:t>
      </w:r>
      <w:proofErr w:type="spellStart"/>
      <w:r w:rsidRPr="00900F1B">
        <w:rPr>
          <w:rFonts w:asciiTheme="minorHAnsi" w:hAnsiTheme="minorHAnsi" w:cstheme="minorHAnsi"/>
          <w:sz w:val="22"/>
          <w:szCs w:val="22"/>
          <w:lang w:eastAsia="el-GR"/>
        </w:rPr>
        <w:t>Petry</w:t>
      </w:r>
      <w:proofErr w:type="spellEnd"/>
      <w:r w:rsidRPr="00900F1B">
        <w:rPr>
          <w:rFonts w:asciiTheme="minorHAnsi" w:hAnsiTheme="minorHAnsi" w:cstheme="minorHAnsi"/>
          <w:sz w:val="22"/>
          <w:szCs w:val="22"/>
          <w:lang w:eastAsia="el-GR"/>
        </w:rPr>
        <w:t>,</w:t>
      </w:r>
      <w:r w:rsidR="000E51EC" w:rsidRPr="000E51EC">
        <w:rPr>
          <w:rFonts w:asciiTheme="minorHAnsi" w:hAnsiTheme="minorHAnsi" w:cstheme="minorHAnsi"/>
          <w:sz w:val="22"/>
          <w:szCs w:val="22"/>
          <w:lang w:eastAsia="el-GR"/>
        </w:rPr>
        <w:t xml:space="preserve"> </w:t>
      </w:r>
      <w:r w:rsidR="000E51EC">
        <w:rPr>
          <w:rFonts w:asciiTheme="minorHAnsi" w:hAnsiTheme="minorHAnsi" w:cstheme="minorHAnsi"/>
          <w:sz w:val="22"/>
          <w:szCs w:val="22"/>
          <w:lang w:val="en-US" w:eastAsia="el-GR"/>
        </w:rPr>
        <w:t>et</w:t>
      </w:r>
      <w:r w:rsidR="000E51EC" w:rsidRPr="000E51EC">
        <w:rPr>
          <w:rFonts w:asciiTheme="minorHAnsi" w:hAnsiTheme="minorHAnsi" w:cstheme="minorHAnsi"/>
          <w:sz w:val="22"/>
          <w:szCs w:val="22"/>
          <w:lang w:eastAsia="el-GR"/>
        </w:rPr>
        <w:t xml:space="preserve"> </w:t>
      </w:r>
      <w:r w:rsidR="000E51EC">
        <w:rPr>
          <w:rFonts w:asciiTheme="minorHAnsi" w:hAnsiTheme="minorHAnsi" w:cstheme="minorHAnsi"/>
          <w:sz w:val="22"/>
          <w:szCs w:val="22"/>
          <w:lang w:val="en-US" w:eastAsia="el-GR"/>
        </w:rPr>
        <w:t>al</w:t>
      </w:r>
      <w:r w:rsidR="000E51EC" w:rsidRPr="000E51EC">
        <w:rPr>
          <w:rFonts w:asciiTheme="minorHAnsi" w:hAnsiTheme="minorHAnsi" w:cstheme="minorHAnsi"/>
          <w:sz w:val="22"/>
          <w:szCs w:val="22"/>
          <w:lang w:eastAsia="el-GR"/>
        </w:rPr>
        <w:t>.,</w:t>
      </w:r>
      <w:r w:rsidRPr="00900F1B">
        <w:rPr>
          <w:rFonts w:asciiTheme="minorHAnsi" w:hAnsiTheme="minorHAnsi" w:cstheme="minorHAnsi"/>
          <w:sz w:val="22"/>
          <w:szCs w:val="22"/>
          <w:lang w:eastAsia="el-GR"/>
        </w:rPr>
        <w:t xml:space="preserve"> 2005). Ακόμη και τα άτομα με σοβαρές μορφές αναπηρίας έχουν ανάγκη από αμοιβαίες και ουσιαστικές αλληλεπιδράσεις με άλλους, ώστε να μπορούν να αναπτύσσουν και να διατηρούν σταθερές και μακροχρόνιες κοινωνικές σχέσεις (</w:t>
      </w:r>
      <w:proofErr w:type="spellStart"/>
      <w:r w:rsidRPr="00900F1B">
        <w:rPr>
          <w:rFonts w:asciiTheme="minorHAnsi" w:hAnsiTheme="minorHAnsi" w:cstheme="minorHAnsi"/>
          <w:sz w:val="22"/>
          <w:szCs w:val="22"/>
          <w:lang w:eastAsia="el-GR"/>
        </w:rPr>
        <w:t>Hostyn</w:t>
      </w:r>
      <w:proofErr w:type="spellEnd"/>
      <w:r w:rsidRPr="00900F1B">
        <w:rPr>
          <w:rFonts w:asciiTheme="minorHAnsi" w:hAnsiTheme="minorHAnsi" w:cstheme="minorHAnsi"/>
          <w:sz w:val="22"/>
          <w:szCs w:val="22"/>
          <w:lang w:eastAsia="el-GR"/>
        </w:rPr>
        <w:t xml:space="preserve">, </w:t>
      </w:r>
      <w:r w:rsidR="000E51EC">
        <w:rPr>
          <w:rFonts w:asciiTheme="minorHAnsi" w:hAnsiTheme="minorHAnsi" w:cstheme="minorHAnsi"/>
          <w:sz w:val="22"/>
          <w:szCs w:val="22"/>
          <w:lang w:val="en-US" w:eastAsia="el-GR"/>
        </w:rPr>
        <w:t>et</w:t>
      </w:r>
      <w:r w:rsidR="000E51EC" w:rsidRPr="000E51EC">
        <w:rPr>
          <w:rFonts w:asciiTheme="minorHAnsi" w:hAnsiTheme="minorHAnsi" w:cstheme="minorHAnsi"/>
          <w:sz w:val="22"/>
          <w:szCs w:val="22"/>
          <w:lang w:eastAsia="el-GR"/>
        </w:rPr>
        <w:t xml:space="preserve"> </w:t>
      </w:r>
      <w:r w:rsidR="000E51EC">
        <w:rPr>
          <w:rFonts w:asciiTheme="minorHAnsi" w:hAnsiTheme="minorHAnsi" w:cstheme="minorHAnsi"/>
          <w:sz w:val="22"/>
          <w:szCs w:val="22"/>
          <w:lang w:val="en-US" w:eastAsia="el-GR"/>
        </w:rPr>
        <w:t>al</w:t>
      </w:r>
      <w:r w:rsidR="000E51EC" w:rsidRPr="000E51EC">
        <w:rPr>
          <w:rFonts w:asciiTheme="minorHAnsi" w:hAnsiTheme="minorHAnsi" w:cstheme="minorHAnsi"/>
          <w:sz w:val="22"/>
          <w:szCs w:val="22"/>
          <w:lang w:eastAsia="el-GR"/>
        </w:rPr>
        <w:t xml:space="preserve">., </w:t>
      </w:r>
      <w:r w:rsidRPr="00900F1B">
        <w:rPr>
          <w:rFonts w:asciiTheme="minorHAnsi" w:hAnsiTheme="minorHAnsi" w:cstheme="minorHAnsi"/>
          <w:sz w:val="22"/>
          <w:szCs w:val="22"/>
          <w:lang w:eastAsia="el-GR"/>
        </w:rPr>
        <w:t>2011).</w:t>
      </w:r>
      <w:r>
        <w:rPr>
          <w:rFonts w:asciiTheme="minorHAnsi" w:hAnsiTheme="minorHAnsi" w:cstheme="minorHAnsi"/>
          <w:sz w:val="22"/>
          <w:szCs w:val="22"/>
          <w:lang w:eastAsia="el-GR"/>
        </w:rPr>
        <w:t xml:space="preserve"> </w:t>
      </w:r>
      <w:r w:rsidRPr="00900F1B">
        <w:rPr>
          <w:rFonts w:asciiTheme="minorHAnsi" w:hAnsiTheme="minorHAnsi" w:cstheme="minorHAnsi"/>
          <w:sz w:val="22"/>
          <w:szCs w:val="22"/>
          <w:lang w:eastAsia="el-GR"/>
        </w:rPr>
        <w:t xml:space="preserve">Η δεύτερη συνιστώσα του εργαλείου επικεντρώθηκε στη διερεύνηση των αρνητικών συμπεριφορών που συχνά επιδεικνύουν τα άτομα χωρίς αναπηρία στις κοινωνικές τους επαφές. Για παράδειγμα, η εκδήλωση στάσεων </w:t>
      </w:r>
      <w:r w:rsidRPr="00900F1B">
        <w:rPr>
          <w:rFonts w:asciiTheme="minorHAnsi" w:hAnsiTheme="minorHAnsi" w:cstheme="minorHAnsi"/>
          <w:sz w:val="22"/>
          <w:szCs w:val="22"/>
          <w:lang w:eastAsia="el-GR"/>
        </w:rPr>
        <w:lastRenderedPageBreak/>
        <w:t>ενόχλησης, αμηχανίας ή βιασύνης κατά την αλληλεπίδραση με άτομα με αναπηρία μπορεί να επηρεάσει αρνητικά τα συναισθήματα και την κοινωνική εμπειρία των τελευταίων. Οι αρνητικές αυτές στάσεις συνδέονται άμεσα με φαινόμενα κοινωνικού αποκλεισμού στους τομείς της εκπαίδευσης, της απασχόλησης και της κοινωνικής ζωής ευρύτερα (</w:t>
      </w:r>
      <w:proofErr w:type="spellStart"/>
      <w:r w:rsidRPr="00900F1B">
        <w:rPr>
          <w:rFonts w:asciiTheme="minorHAnsi" w:hAnsiTheme="minorHAnsi" w:cstheme="minorHAnsi"/>
          <w:sz w:val="22"/>
          <w:szCs w:val="22"/>
          <w:lang w:eastAsia="el-GR"/>
        </w:rPr>
        <w:t>Shakespeare</w:t>
      </w:r>
      <w:proofErr w:type="spellEnd"/>
      <w:r w:rsidRPr="00900F1B">
        <w:rPr>
          <w:rFonts w:asciiTheme="minorHAnsi" w:hAnsiTheme="minorHAnsi" w:cstheme="minorHAnsi"/>
          <w:sz w:val="22"/>
          <w:szCs w:val="22"/>
          <w:lang w:eastAsia="el-GR"/>
        </w:rPr>
        <w:t>, 2014).</w:t>
      </w:r>
      <w:r w:rsidR="000F192F" w:rsidRPr="000F192F">
        <w:rPr>
          <w:rFonts w:asciiTheme="minorHAnsi" w:hAnsiTheme="minorHAnsi" w:cstheme="minorHAnsi"/>
          <w:sz w:val="22"/>
          <w:szCs w:val="22"/>
          <w:lang w:eastAsia="el-GR"/>
        </w:rPr>
        <w:t xml:space="preserve"> </w:t>
      </w:r>
      <w:r w:rsidRPr="00900F1B">
        <w:rPr>
          <w:rFonts w:asciiTheme="minorHAnsi" w:hAnsiTheme="minorHAnsi" w:cstheme="minorHAnsi"/>
          <w:sz w:val="22"/>
          <w:szCs w:val="22"/>
          <w:lang w:eastAsia="el-GR"/>
        </w:rPr>
        <w:t xml:space="preserve">Η συστηματική χαρτογράφηση τέτοιων στάσεων και συμπεριφορών θεωρείται καθοριστικής σημασίας, καθώς επιτρέπει τον εντοπισμό των βαθύτερων αιτίων του κοινωνικού αποκλεισμού και συμβάλλει στη διαμόρφωση </w:t>
      </w:r>
      <w:proofErr w:type="spellStart"/>
      <w:r w:rsidRPr="00900F1B">
        <w:rPr>
          <w:rFonts w:asciiTheme="minorHAnsi" w:hAnsiTheme="minorHAnsi" w:cstheme="minorHAnsi"/>
          <w:sz w:val="22"/>
          <w:szCs w:val="22"/>
          <w:lang w:eastAsia="el-GR"/>
        </w:rPr>
        <w:t>στοχευμένων</w:t>
      </w:r>
      <w:proofErr w:type="spellEnd"/>
      <w:r w:rsidRPr="00900F1B">
        <w:rPr>
          <w:rFonts w:asciiTheme="minorHAnsi" w:hAnsiTheme="minorHAnsi" w:cstheme="minorHAnsi"/>
          <w:sz w:val="22"/>
          <w:szCs w:val="22"/>
          <w:lang w:eastAsia="el-GR"/>
        </w:rPr>
        <w:t xml:space="preserve"> προγραμμάτων ενημέρωσης και ευαισθητοποίησης του κοινού (</w:t>
      </w:r>
      <w:proofErr w:type="spellStart"/>
      <w:r w:rsidRPr="00900F1B">
        <w:rPr>
          <w:rFonts w:asciiTheme="minorHAnsi" w:hAnsiTheme="minorHAnsi" w:cstheme="minorHAnsi"/>
          <w:sz w:val="22"/>
          <w:szCs w:val="22"/>
          <w:lang w:eastAsia="el-GR"/>
        </w:rPr>
        <w:t>Fisher</w:t>
      </w:r>
      <w:proofErr w:type="spellEnd"/>
      <w:r w:rsidRPr="00900F1B">
        <w:rPr>
          <w:rFonts w:asciiTheme="minorHAnsi" w:hAnsiTheme="minorHAnsi" w:cstheme="minorHAnsi"/>
          <w:sz w:val="22"/>
          <w:szCs w:val="22"/>
          <w:lang w:eastAsia="el-GR"/>
        </w:rPr>
        <w:t xml:space="preserve"> &amp; </w:t>
      </w:r>
      <w:proofErr w:type="spellStart"/>
      <w:r w:rsidRPr="00900F1B">
        <w:rPr>
          <w:rFonts w:asciiTheme="minorHAnsi" w:hAnsiTheme="minorHAnsi" w:cstheme="minorHAnsi"/>
          <w:sz w:val="22"/>
          <w:szCs w:val="22"/>
          <w:lang w:eastAsia="el-GR"/>
        </w:rPr>
        <w:t>Purcal</w:t>
      </w:r>
      <w:proofErr w:type="spellEnd"/>
      <w:r w:rsidRPr="00900F1B">
        <w:rPr>
          <w:rFonts w:asciiTheme="minorHAnsi" w:hAnsiTheme="minorHAnsi" w:cstheme="minorHAnsi"/>
          <w:sz w:val="22"/>
          <w:szCs w:val="22"/>
          <w:lang w:eastAsia="el-GR"/>
        </w:rPr>
        <w:t>, 2017). Μέσα από τέτοιες παρεμβάσεις επιδιώκεται η ανατροπή προκατειλημμένων αντιλήψεων και η ενίσχυση της κοινωνικής συνοχής, με τελικό στόχο τη βελτίωση της ποιότητας ζωής των ατόμων με αναπηρία.</w:t>
      </w:r>
      <w:r w:rsidR="000E51EC" w:rsidRPr="000E51EC">
        <w:rPr>
          <w:rFonts w:asciiTheme="minorHAnsi" w:hAnsiTheme="minorHAnsi" w:cstheme="minorHAnsi"/>
          <w:sz w:val="22"/>
          <w:szCs w:val="22"/>
          <w:lang w:eastAsia="el-GR"/>
        </w:rPr>
        <w:t xml:space="preserve"> </w:t>
      </w:r>
      <w:r w:rsidRPr="00900F1B">
        <w:rPr>
          <w:rFonts w:asciiTheme="minorHAnsi" w:hAnsiTheme="minorHAnsi" w:cstheme="minorHAnsi"/>
          <w:sz w:val="22"/>
          <w:szCs w:val="22"/>
          <w:lang w:eastAsia="el-GR"/>
        </w:rPr>
        <w:t>Για τους παραπάνω λόγους, εντείνεται το ερευνητικό ενδιαφέρον σχετικά με τον εντοπισμό όχι μόνο των εμποδίων, αλλά και των μηχανισμών που δύνανται να διευκολύνουν την ουσιαστική συμμετοχή των ατόμων με αναπηρία στο κοινωνικό γίγνεσθαι, καθιστώντας πράξη τις διεθνείς διακηρύξεις για την ισότητα και τη συμπερίληψη. Το παρόν ερευνητικό εργαλείο προτείνεται ως έγκυρο και αξιόπιστο μέσο για την αποτύπωση των παραπάνω συμπεριφορών και τη διαμόρφωση τεκμηριωμένων δράσεων ενημέρωσης και ευαισθητοποίησης, με απώτερο στόχο τη βελτίωση της ποιότητας ζωής και της κοινωνικής συμμετοχής των ατόμων με αναπηρία.</w:t>
      </w:r>
    </w:p>
    <w:p w14:paraId="7F5392F8" w14:textId="77777777" w:rsidR="007B4619" w:rsidRPr="00900F1B" w:rsidRDefault="007B4619" w:rsidP="007B4619">
      <w:pPr>
        <w:jc w:val="both"/>
        <w:rPr>
          <w:rFonts w:asciiTheme="minorHAnsi" w:hAnsiTheme="minorHAnsi" w:cstheme="minorHAnsi"/>
          <w:sz w:val="22"/>
          <w:szCs w:val="22"/>
          <w:lang w:eastAsia="el-GR"/>
        </w:rPr>
      </w:pPr>
    </w:p>
    <w:p w14:paraId="6CD488CA" w14:textId="77777777" w:rsidR="007B4619" w:rsidRPr="007B4619" w:rsidRDefault="007B4619" w:rsidP="00C84D43">
      <w:pPr>
        <w:pStyle w:val="1"/>
        <w:ind w:hanging="148"/>
        <w:rPr>
          <w:rFonts w:asciiTheme="minorHAnsi" w:hAnsiTheme="minorHAnsi" w:cstheme="minorHAnsi"/>
          <w:b/>
          <w:sz w:val="22"/>
          <w:szCs w:val="22"/>
          <w:lang w:val="en-US"/>
        </w:rPr>
      </w:pPr>
      <w:r w:rsidRPr="007B4619">
        <w:rPr>
          <w:rFonts w:asciiTheme="minorHAnsi" w:hAnsiTheme="minorHAnsi" w:cstheme="minorHAnsi"/>
          <w:b/>
          <w:sz w:val="22"/>
          <w:szCs w:val="22"/>
        </w:rPr>
        <w:t>Βιβλιογραφία</w:t>
      </w:r>
      <w:r w:rsidRPr="007B4619">
        <w:rPr>
          <w:rFonts w:asciiTheme="minorHAnsi" w:hAnsiTheme="minorHAnsi" w:cstheme="minorHAnsi"/>
          <w:b/>
          <w:sz w:val="22"/>
          <w:szCs w:val="22"/>
          <w:lang w:val="en-US"/>
        </w:rPr>
        <w:t xml:space="preserve"> </w:t>
      </w:r>
    </w:p>
    <w:p w14:paraId="50369C6A" w14:textId="77777777" w:rsidR="005028C6" w:rsidRPr="005028C6" w:rsidRDefault="005028C6" w:rsidP="005028C6">
      <w:pPr>
        <w:tabs>
          <w:tab w:val="left" w:pos="7230"/>
        </w:tabs>
        <w:ind w:firstLine="567"/>
        <w:jc w:val="both"/>
        <w:rPr>
          <w:rFonts w:asciiTheme="minorHAnsi" w:hAnsiTheme="minorHAnsi" w:cstheme="minorHAnsi"/>
          <w:sz w:val="22"/>
          <w:szCs w:val="22"/>
          <w:lang w:val="en-US"/>
        </w:rPr>
      </w:pPr>
      <w:proofErr w:type="spellStart"/>
      <w:r w:rsidRPr="005028C6">
        <w:rPr>
          <w:rFonts w:asciiTheme="minorHAnsi" w:hAnsiTheme="minorHAnsi" w:cstheme="minorHAnsi"/>
          <w:sz w:val="22"/>
          <w:szCs w:val="22"/>
          <w:lang w:val="en-US"/>
        </w:rPr>
        <w:t>Acock</w:t>
      </w:r>
      <w:proofErr w:type="spellEnd"/>
      <w:r w:rsidRPr="005028C6">
        <w:rPr>
          <w:rFonts w:asciiTheme="minorHAnsi" w:hAnsiTheme="minorHAnsi" w:cstheme="minorHAnsi"/>
          <w:sz w:val="22"/>
          <w:szCs w:val="22"/>
          <w:lang w:val="en-US"/>
        </w:rPr>
        <w:t xml:space="preserve">, A. C. (2008). </w:t>
      </w:r>
      <w:r w:rsidRPr="005028C6">
        <w:rPr>
          <w:rFonts w:asciiTheme="minorHAnsi" w:hAnsiTheme="minorHAnsi" w:cstheme="minorHAnsi"/>
          <w:i/>
          <w:sz w:val="22"/>
          <w:szCs w:val="22"/>
          <w:lang w:val="en-US"/>
        </w:rPr>
        <w:t>A Gentle Introduction to Stata</w:t>
      </w:r>
      <w:r w:rsidRPr="005028C6">
        <w:rPr>
          <w:rFonts w:asciiTheme="minorHAnsi" w:hAnsiTheme="minorHAnsi" w:cstheme="minorHAnsi"/>
          <w:sz w:val="22"/>
          <w:szCs w:val="22"/>
          <w:lang w:val="en-US"/>
        </w:rPr>
        <w:t>, 4th Edition, A Stata Press Publication.</w:t>
      </w:r>
    </w:p>
    <w:p w14:paraId="5A1B64F9" w14:textId="77777777" w:rsidR="005028C6" w:rsidRPr="005028C6" w:rsidRDefault="005028C6" w:rsidP="005028C6">
      <w:pPr>
        <w:tabs>
          <w:tab w:val="left" w:pos="7230"/>
        </w:tabs>
        <w:ind w:firstLine="567"/>
        <w:jc w:val="both"/>
        <w:rPr>
          <w:rFonts w:asciiTheme="minorHAnsi" w:hAnsiTheme="minorHAnsi" w:cstheme="minorHAnsi"/>
          <w:sz w:val="22"/>
          <w:szCs w:val="22"/>
          <w:lang w:val="en-US"/>
        </w:rPr>
      </w:pPr>
      <w:proofErr w:type="spellStart"/>
      <w:r w:rsidRPr="005028C6">
        <w:rPr>
          <w:rFonts w:asciiTheme="minorHAnsi" w:hAnsiTheme="minorHAnsi" w:cstheme="minorHAnsi"/>
          <w:sz w:val="22"/>
          <w:szCs w:val="22"/>
          <w:lang w:val="en-US" w:eastAsia="el-GR"/>
        </w:rPr>
        <w:t>Anastasiou</w:t>
      </w:r>
      <w:proofErr w:type="spellEnd"/>
      <w:r w:rsidRPr="005028C6">
        <w:rPr>
          <w:rFonts w:asciiTheme="minorHAnsi" w:hAnsiTheme="minorHAnsi" w:cstheme="minorHAnsi"/>
          <w:sz w:val="22"/>
          <w:szCs w:val="22"/>
          <w:lang w:val="en-US" w:eastAsia="el-GR"/>
        </w:rPr>
        <w:t xml:space="preserve">, D., &amp; Kauffman, J. M. (2011). A Social Constructionist Approach to Disability: Implications for Special Education. </w:t>
      </w:r>
      <w:r w:rsidRPr="005028C6">
        <w:rPr>
          <w:rFonts w:asciiTheme="minorHAnsi" w:hAnsiTheme="minorHAnsi" w:cstheme="minorHAnsi"/>
          <w:i/>
          <w:iCs/>
          <w:sz w:val="22"/>
          <w:szCs w:val="22"/>
          <w:lang w:val="en-US" w:eastAsia="el-GR"/>
        </w:rPr>
        <w:t>Exceptional Children</w:t>
      </w:r>
      <w:r w:rsidRPr="005028C6">
        <w:rPr>
          <w:rFonts w:asciiTheme="minorHAnsi" w:hAnsiTheme="minorHAnsi" w:cstheme="minorHAnsi"/>
          <w:sz w:val="22"/>
          <w:szCs w:val="22"/>
          <w:lang w:val="en-US" w:eastAsia="el-GR"/>
        </w:rPr>
        <w:t xml:space="preserve">, </w:t>
      </w:r>
      <w:r w:rsidRPr="005028C6">
        <w:rPr>
          <w:rFonts w:asciiTheme="minorHAnsi" w:hAnsiTheme="minorHAnsi" w:cstheme="minorHAnsi"/>
          <w:i/>
          <w:iCs/>
          <w:sz w:val="22"/>
          <w:szCs w:val="22"/>
          <w:lang w:val="en-US" w:eastAsia="el-GR"/>
        </w:rPr>
        <w:t>77</w:t>
      </w:r>
      <w:r w:rsidRPr="005028C6">
        <w:rPr>
          <w:rFonts w:asciiTheme="minorHAnsi" w:hAnsiTheme="minorHAnsi" w:cstheme="minorHAnsi"/>
          <w:sz w:val="22"/>
          <w:szCs w:val="22"/>
          <w:lang w:val="en-US" w:eastAsia="el-GR"/>
        </w:rPr>
        <w:t xml:space="preserve">(3), 367-384. </w:t>
      </w:r>
      <w:hyperlink r:id="rId12" w:history="1">
        <w:r w:rsidRPr="005028C6">
          <w:rPr>
            <w:rFonts w:asciiTheme="minorHAnsi" w:hAnsiTheme="minorHAnsi" w:cstheme="minorHAnsi"/>
            <w:color w:val="0000FF"/>
            <w:sz w:val="22"/>
            <w:szCs w:val="22"/>
            <w:u w:val="single"/>
            <w:lang w:val="en-US" w:eastAsia="el-GR"/>
          </w:rPr>
          <w:t>https://doi.org/10.1177/001440291107700307</w:t>
        </w:r>
      </w:hyperlink>
      <w:r w:rsidRPr="005028C6">
        <w:rPr>
          <w:rFonts w:asciiTheme="minorHAnsi" w:hAnsiTheme="minorHAnsi" w:cstheme="minorHAnsi"/>
          <w:sz w:val="22"/>
          <w:szCs w:val="22"/>
          <w:lang w:val="en-US" w:eastAsia="el-GR"/>
        </w:rPr>
        <w:t>.</w:t>
      </w:r>
    </w:p>
    <w:p w14:paraId="67FD95D2" w14:textId="77777777" w:rsidR="005028C6" w:rsidRPr="005028C6" w:rsidRDefault="005028C6" w:rsidP="005028C6">
      <w:pPr>
        <w:tabs>
          <w:tab w:val="left" w:pos="7230"/>
        </w:tabs>
        <w:ind w:firstLine="567"/>
        <w:jc w:val="both"/>
        <w:rPr>
          <w:rFonts w:asciiTheme="minorHAnsi" w:hAnsiTheme="minorHAnsi" w:cstheme="minorHAnsi"/>
          <w:sz w:val="22"/>
          <w:szCs w:val="22"/>
          <w:lang w:val="en-US"/>
        </w:rPr>
      </w:pPr>
      <w:r w:rsidRPr="005028C6">
        <w:rPr>
          <w:rFonts w:asciiTheme="minorHAnsi" w:hAnsiTheme="minorHAnsi" w:cstheme="minorHAnsi"/>
          <w:sz w:val="22"/>
          <w:szCs w:val="22"/>
          <w:lang w:val="en-US" w:eastAsia="el-GR"/>
        </w:rPr>
        <w:t xml:space="preserve">Anderson, J. C. (1987). An Approach for Confirmatory Measurement and Structural Equation Modeling of Organizational Properties. </w:t>
      </w:r>
      <w:r w:rsidRPr="005028C6">
        <w:rPr>
          <w:rFonts w:asciiTheme="minorHAnsi" w:hAnsiTheme="minorHAnsi" w:cstheme="minorHAnsi"/>
          <w:i/>
          <w:iCs/>
          <w:sz w:val="22"/>
          <w:szCs w:val="22"/>
          <w:lang w:val="en-US" w:eastAsia="el-GR"/>
        </w:rPr>
        <w:t>Management Science</w:t>
      </w:r>
      <w:r w:rsidRPr="005028C6">
        <w:rPr>
          <w:rFonts w:asciiTheme="minorHAnsi" w:hAnsiTheme="minorHAnsi" w:cstheme="minorHAnsi"/>
          <w:sz w:val="22"/>
          <w:szCs w:val="22"/>
          <w:lang w:val="en-US" w:eastAsia="el-GR"/>
        </w:rPr>
        <w:t xml:space="preserve">, </w:t>
      </w:r>
      <w:r w:rsidRPr="005028C6">
        <w:rPr>
          <w:rFonts w:asciiTheme="minorHAnsi" w:hAnsiTheme="minorHAnsi" w:cstheme="minorHAnsi"/>
          <w:i/>
          <w:iCs/>
          <w:sz w:val="22"/>
          <w:szCs w:val="22"/>
          <w:lang w:val="en-US" w:eastAsia="el-GR"/>
        </w:rPr>
        <w:t>33</w:t>
      </w:r>
      <w:r w:rsidRPr="005028C6">
        <w:rPr>
          <w:rFonts w:asciiTheme="minorHAnsi" w:hAnsiTheme="minorHAnsi" w:cstheme="minorHAnsi"/>
          <w:sz w:val="22"/>
          <w:szCs w:val="22"/>
          <w:lang w:val="en-US" w:eastAsia="el-GR"/>
        </w:rPr>
        <w:t xml:space="preserve">(4), 525–541. </w:t>
      </w:r>
      <w:hyperlink r:id="rId13" w:history="1">
        <w:r w:rsidRPr="005028C6">
          <w:rPr>
            <w:rStyle w:val="-"/>
            <w:rFonts w:asciiTheme="minorHAnsi" w:hAnsiTheme="minorHAnsi" w:cstheme="minorHAnsi"/>
            <w:sz w:val="22"/>
            <w:szCs w:val="22"/>
            <w:lang w:val="en-US" w:eastAsia="el-GR"/>
          </w:rPr>
          <w:t>http://www.jstor.org/stable/2631871</w:t>
        </w:r>
      </w:hyperlink>
      <w:r w:rsidRPr="005028C6">
        <w:rPr>
          <w:rFonts w:asciiTheme="minorHAnsi" w:hAnsiTheme="minorHAnsi" w:cstheme="minorHAnsi"/>
          <w:sz w:val="22"/>
          <w:szCs w:val="22"/>
          <w:lang w:val="en-US" w:eastAsia="el-GR"/>
        </w:rPr>
        <w:t xml:space="preserve">. </w:t>
      </w:r>
    </w:p>
    <w:p w14:paraId="066992AD" w14:textId="77777777" w:rsidR="005028C6" w:rsidRPr="005028C6" w:rsidRDefault="005028C6" w:rsidP="005028C6">
      <w:pPr>
        <w:tabs>
          <w:tab w:val="left" w:pos="7230"/>
        </w:tabs>
        <w:ind w:firstLine="567"/>
        <w:jc w:val="both"/>
        <w:rPr>
          <w:rFonts w:asciiTheme="minorHAnsi" w:hAnsiTheme="minorHAnsi" w:cstheme="minorHAnsi"/>
          <w:sz w:val="22"/>
          <w:szCs w:val="22"/>
          <w:lang w:val="en-US"/>
        </w:rPr>
      </w:pPr>
      <w:r w:rsidRPr="005028C6">
        <w:rPr>
          <w:rFonts w:asciiTheme="minorHAnsi" w:hAnsiTheme="minorHAnsi" w:cstheme="minorHAnsi"/>
          <w:sz w:val="22"/>
          <w:szCs w:val="22"/>
          <w:lang w:val="en-US"/>
        </w:rPr>
        <w:t xml:space="preserve"> Arbuckle, J.L. (2021). </w:t>
      </w:r>
      <w:r w:rsidRPr="005028C6">
        <w:rPr>
          <w:rFonts w:asciiTheme="minorHAnsi" w:hAnsiTheme="minorHAnsi" w:cstheme="minorHAnsi"/>
          <w:i/>
          <w:sz w:val="22"/>
          <w:szCs w:val="22"/>
          <w:lang w:val="en-US"/>
        </w:rPr>
        <w:t>IBM® SPSS® Amos™ 28 User’s Guide</w:t>
      </w:r>
      <w:r w:rsidRPr="005028C6">
        <w:rPr>
          <w:rFonts w:asciiTheme="minorHAnsi" w:hAnsiTheme="minorHAnsi" w:cstheme="minorHAnsi"/>
          <w:sz w:val="22"/>
          <w:szCs w:val="22"/>
          <w:lang w:val="en-US"/>
        </w:rPr>
        <w:t>, Amos Development Corporation.</w:t>
      </w:r>
    </w:p>
    <w:p w14:paraId="1B2CB437" w14:textId="77777777" w:rsidR="005028C6" w:rsidRPr="005028C6" w:rsidRDefault="005028C6" w:rsidP="005028C6">
      <w:pPr>
        <w:tabs>
          <w:tab w:val="left" w:pos="7230"/>
        </w:tabs>
        <w:ind w:firstLine="567"/>
        <w:jc w:val="both"/>
        <w:rPr>
          <w:rFonts w:asciiTheme="minorHAnsi" w:hAnsiTheme="minorHAnsi" w:cstheme="minorHAnsi"/>
          <w:sz w:val="22"/>
          <w:szCs w:val="22"/>
          <w:lang w:val="en-US"/>
        </w:rPr>
      </w:pPr>
      <w:r w:rsidRPr="005028C6">
        <w:rPr>
          <w:rFonts w:asciiTheme="minorHAnsi" w:hAnsiTheme="minorHAnsi" w:cstheme="minorHAnsi"/>
          <w:sz w:val="22"/>
          <w:szCs w:val="22"/>
          <w:lang w:val="en-US"/>
        </w:rPr>
        <w:t xml:space="preserve">Balog, A. &amp; </w:t>
      </w:r>
      <w:proofErr w:type="spellStart"/>
      <w:r w:rsidRPr="005028C6">
        <w:rPr>
          <w:rFonts w:asciiTheme="minorHAnsi" w:hAnsiTheme="minorHAnsi" w:cstheme="minorHAnsi"/>
          <w:sz w:val="22"/>
          <w:szCs w:val="22"/>
          <w:lang w:val="en-US"/>
        </w:rPr>
        <w:t>Pribeanu</w:t>
      </w:r>
      <w:proofErr w:type="spellEnd"/>
      <w:r w:rsidRPr="005028C6">
        <w:rPr>
          <w:rFonts w:asciiTheme="minorHAnsi" w:hAnsiTheme="minorHAnsi" w:cstheme="minorHAnsi"/>
          <w:sz w:val="22"/>
          <w:szCs w:val="22"/>
          <w:lang w:val="en-US"/>
        </w:rPr>
        <w:t xml:space="preserve">, C. (2010). The Role of Perceived Enjoyment in the Students’ Acceptance of an Augmented Reality Teaching Platform: a Structural Equation Modelling Approach, </w:t>
      </w:r>
      <w:r w:rsidRPr="005028C6">
        <w:rPr>
          <w:rFonts w:asciiTheme="minorHAnsi" w:hAnsiTheme="minorHAnsi" w:cstheme="minorHAnsi"/>
          <w:i/>
          <w:sz w:val="22"/>
          <w:szCs w:val="22"/>
          <w:lang w:val="en-US"/>
        </w:rPr>
        <w:t>Studies in Informatics and Control, 19</w:t>
      </w:r>
      <w:r w:rsidRPr="005028C6">
        <w:rPr>
          <w:rFonts w:asciiTheme="minorHAnsi" w:hAnsiTheme="minorHAnsi" w:cstheme="minorHAnsi"/>
          <w:sz w:val="22"/>
          <w:szCs w:val="22"/>
          <w:lang w:val="en-US"/>
        </w:rPr>
        <w:t xml:space="preserve">(3), 319-330. </w:t>
      </w:r>
      <w:hyperlink r:id="rId14" w:history="1">
        <w:r w:rsidRPr="005028C6">
          <w:rPr>
            <w:rStyle w:val="-"/>
            <w:rFonts w:asciiTheme="minorHAnsi" w:hAnsiTheme="minorHAnsi" w:cstheme="minorHAnsi"/>
            <w:sz w:val="22"/>
            <w:szCs w:val="22"/>
            <w:lang w:val="en-US"/>
          </w:rPr>
          <w:t>https://doi.org/10.24846/v19i3y201011</w:t>
        </w:r>
      </w:hyperlink>
      <w:r w:rsidRPr="005028C6">
        <w:rPr>
          <w:rFonts w:asciiTheme="minorHAnsi" w:hAnsiTheme="minorHAnsi" w:cstheme="minorHAnsi"/>
          <w:sz w:val="22"/>
          <w:szCs w:val="22"/>
          <w:lang w:val="en-US"/>
        </w:rPr>
        <w:t xml:space="preserve">. </w:t>
      </w:r>
    </w:p>
    <w:p w14:paraId="1D0A72C1" w14:textId="77777777" w:rsidR="005028C6" w:rsidRPr="005028C6" w:rsidRDefault="005028C6" w:rsidP="005028C6">
      <w:pPr>
        <w:pStyle w:val="1"/>
        <w:tabs>
          <w:tab w:val="left" w:pos="7230"/>
        </w:tabs>
        <w:ind w:left="0" w:firstLine="567"/>
        <w:rPr>
          <w:rFonts w:asciiTheme="minorHAnsi" w:hAnsiTheme="minorHAnsi" w:cstheme="minorHAnsi"/>
          <w:sz w:val="22"/>
          <w:szCs w:val="22"/>
          <w:lang w:val="en-US"/>
        </w:rPr>
      </w:pPr>
      <w:proofErr w:type="spellStart"/>
      <w:r w:rsidRPr="005028C6">
        <w:rPr>
          <w:rFonts w:asciiTheme="minorHAnsi" w:hAnsiTheme="minorHAnsi" w:cstheme="minorHAnsi"/>
          <w:sz w:val="22"/>
          <w:szCs w:val="22"/>
          <w:lang w:val="en-US"/>
        </w:rPr>
        <w:t>Björnsdottir</w:t>
      </w:r>
      <w:proofErr w:type="spellEnd"/>
      <w:r w:rsidRPr="005028C6">
        <w:rPr>
          <w:rFonts w:asciiTheme="minorHAnsi" w:hAnsiTheme="minorHAnsi" w:cstheme="minorHAnsi"/>
          <w:sz w:val="22"/>
          <w:szCs w:val="22"/>
          <w:lang w:val="en-US"/>
        </w:rPr>
        <w:t xml:space="preserve">, K., </w:t>
      </w:r>
      <w:proofErr w:type="spellStart"/>
      <w:r w:rsidRPr="005028C6">
        <w:rPr>
          <w:rFonts w:asciiTheme="minorHAnsi" w:hAnsiTheme="minorHAnsi" w:cstheme="minorHAnsi"/>
          <w:sz w:val="22"/>
          <w:szCs w:val="22"/>
          <w:lang w:val="en-US"/>
        </w:rPr>
        <w:t>Stefansdottir</w:t>
      </w:r>
      <w:proofErr w:type="spellEnd"/>
      <w:r w:rsidRPr="005028C6">
        <w:rPr>
          <w:rFonts w:asciiTheme="minorHAnsi" w:hAnsiTheme="minorHAnsi" w:cstheme="minorHAnsi"/>
          <w:sz w:val="22"/>
          <w:szCs w:val="22"/>
          <w:lang w:val="en-US"/>
        </w:rPr>
        <w:t xml:space="preserve">, G. V., &amp; </w:t>
      </w:r>
      <w:proofErr w:type="spellStart"/>
      <w:r w:rsidRPr="005028C6">
        <w:rPr>
          <w:rFonts w:asciiTheme="minorHAnsi" w:hAnsiTheme="minorHAnsi" w:cstheme="minorHAnsi"/>
          <w:sz w:val="22"/>
          <w:szCs w:val="22"/>
          <w:lang w:val="en-US"/>
        </w:rPr>
        <w:t>Stefansdottir</w:t>
      </w:r>
      <w:proofErr w:type="spellEnd"/>
      <w:r w:rsidRPr="005028C6">
        <w:rPr>
          <w:rFonts w:asciiTheme="minorHAnsi" w:hAnsiTheme="minorHAnsi" w:cstheme="minorHAnsi"/>
          <w:sz w:val="22"/>
          <w:szCs w:val="22"/>
          <w:lang w:val="en-US"/>
        </w:rPr>
        <w:t xml:space="preserve">, ´A. (2015). ‘It's my life’: Autonomy and people with intellectual disabilities. </w:t>
      </w:r>
      <w:r w:rsidRPr="005028C6">
        <w:rPr>
          <w:rFonts w:asciiTheme="minorHAnsi" w:hAnsiTheme="minorHAnsi" w:cstheme="minorHAnsi"/>
          <w:i/>
          <w:sz w:val="22"/>
          <w:szCs w:val="22"/>
          <w:lang w:val="en-US"/>
        </w:rPr>
        <w:t>Journal of Intellectual Disabilities: JOID</w:t>
      </w:r>
      <w:r w:rsidRPr="005028C6">
        <w:rPr>
          <w:rFonts w:asciiTheme="minorHAnsi" w:hAnsiTheme="minorHAnsi" w:cstheme="minorHAnsi"/>
          <w:sz w:val="22"/>
          <w:szCs w:val="22"/>
          <w:lang w:val="en-US"/>
        </w:rPr>
        <w:t xml:space="preserve">, </w:t>
      </w:r>
      <w:r w:rsidRPr="005028C6">
        <w:rPr>
          <w:rFonts w:asciiTheme="minorHAnsi" w:hAnsiTheme="minorHAnsi" w:cstheme="minorHAnsi"/>
          <w:i/>
          <w:sz w:val="22"/>
          <w:szCs w:val="22"/>
          <w:lang w:val="en-US"/>
        </w:rPr>
        <w:t>19</w:t>
      </w:r>
      <w:r w:rsidRPr="005028C6">
        <w:rPr>
          <w:rFonts w:asciiTheme="minorHAnsi" w:hAnsiTheme="minorHAnsi" w:cstheme="minorHAnsi"/>
          <w:sz w:val="22"/>
          <w:szCs w:val="22"/>
          <w:lang w:val="en-US"/>
        </w:rPr>
        <w:t xml:space="preserve">(1), 5–21. </w:t>
      </w:r>
      <w:hyperlink r:id="rId15" w:history="1">
        <w:r w:rsidRPr="005028C6">
          <w:rPr>
            <w:rStyle w:val="-"/>
            <w:rFonts w:asciiTheme="minorHAnsi" w:hAnsiTheme="minorHAnsi" w:cstheme="minorHAnsi"/>
            <w:sz w:val="22"/>
            <w:szCs w:val="22"/>
            <w:lang w:val="en-US"/>
          </w:rPr>
          <w:t>https://doi.org/10.1177/1744629514564691</w:t>
        </w:r>
      </w:hyperlink>
      <w:r w:rsidRPr="005028C6">
        <w:rPr>
          <w:rStyle w:val="-"/>
          <w:rFonts w:asciiTheme="minorHAnsi" w:hAnsiTheme="minorHAnsi" w:cstheme="minorHAnsi"/>
          <w:sz w:val="22"/>
          <w:szCs w:val="22"/>
          <w:lang w:val="en-US"/>
        </w:rPr>
        <w:t xml:space="preserve">. </w:t>
      </w:r>
    </w:p>
    <w:p w14:paraId="34E1289C" w14:textId="77777777" w:rsidR="005028C6" w:rsidRPr="005028C6" w:rsidRDefault="005028C6" w:rsidP="005028C6">
      <w:pPr>
        <w:pStyle w:val="1"/>
        <w:tabs>
          <w:tab w:val="left" w:pos="7230"/>
        </w:tabs>
        <w:ind w:left="0" w:firstLine="567"/>
        <w:rPr>
          <w:rFonts w:asciiTheme="minorHAnsi" w:eastAsiaTheme="minorHAnsi" w:hAnsiTheme="minorHAnsi" w:cstheme="minorHAnsi"/>
          <w:bCs/>
          <w:sz w:val="22"/>
          <w:szCs w:val="22"/>
          <w:lang w:val="en-US"/>
        </w:rPr>
      </w:pPr>
      <w:r w:rsidRPr="005028C6">
        <w:rPr>
          <w:rFonts w:asciiTheme="minorHAnsi" w:eastAsiaTheme="minorHAnsi" w:hAnsiTheme="minorHAnsi" w:cstheme="minorHAnsi"/>
          <w:sz w:val="22"/>
          <w:szCs w:val="22"/>
          <w:lang w:val="en-US"/>
        </w:rPr>
        <w:t xml:space="preserve">Bogart, K.R., </w:t>
      </w:r>
      <w:proofErr w:type="spellStart"/>
      <w:r w:rsidRPr="005028C6">
        <w:rPr>
          <w:rFonts w:asciiTheme="minorHAnsi" w:eastAsiaTheme="minorHAnsi" w:hAnsiTheme="minorHAnsi" w:cstheme="minorHAnsi"/>
          <w:sz w:val="22"/>
          <w:szCs w:val="22"/>
          <w:lang w:val="en-US"/>
        </w:rPr>
        <w:t>Bonnett</w:t>
      </w:r>
      <w:proofErr w:type="spellEnd"/>
      <w:r w:rsidRPr="005028C6">
        <w:rPr>
          <w:rFonts w:asciiTheme="minorHAnsi" w:eastAsiaTheme="minorHAnsi" w:hAnsiTheme="minorHAnsi" w:cstheme="minorHAnsi"/>
          <w:sz w:val="22"/>
          <w:szCs w:val="22"/>
          <w:lang w:val="en-US"/>
        </w:rPr>
        <w:t xml:space="preserve">, A.K., Logan, S.W., &amp; Cramer </w:t>
      </w:r>
      <w:proofErr w:type="spellStart"/>
      <w:r w:rsidRPr="005028C6">
        <w:rPr>
          <w:rFonts w:asciiTheme="minorHAnsi" w:eastAsiaTheme="minorHAnsi" w:hAnsiTheme="minorHAnsi" w:cstheme="minorHAnsi"/>
          <w:sz w:val="22"/>
          <w:szCs w:val="22"/>
          <w:lang w:val="en-US"/>
        </w:rPr>
        <w:t>Kallem</w:t>
      </w:r>
      <w:proofErr w:type="spellEnd"/>
      <w:r w:rsidRPr="005028C6">
        <w:rPr>
          <w:rFonts w:asciiTheme="minorHAnsi" w:eastAsiaTheme="minorHAnsi" w:hAnsiTheme="minorHAnsi" w:cstheme="minorHAnsi"/>
          <w:sz w:val="22"/>
          <w:szCs w:val="22"/>
          <w:lang w:val="en-US"/>
        </w:rPr>
        <w:t>, Cr. (2022</w:t>
      </w:r>
      <w:r w:rsidRPr="005028C6">
        <w:rPr>
          <w:rFonts w:asciiTheme="minorHAnsi" w:eastAsiaTheme="minorHAnsi" w:hAnsiTheme="minorHAnsi" w:cstheme="minorHAnsi"/>
          <w:bCs/>
          <w:sz w:val="22"/>
          <w:szCs w:val="22"/>
          <w:lang w:val="en-US"/>
        </w:rPr>
        <w:t>)</w:t>
      </w:r>
      <w:r w:rsidRPr="005028C6">
        <w:rPr>
          <w:rFonts w:asciiTheme="minorHAnsi" w:eastAsiaTheme="minorHAnsi" w:hAnsiTheme="minorHAnsi" w:cstheme="minorHAnsi"/>
          <w:sz w:val="22"/>
          <w:szCs w:val="22"/>
          <w:lang w:val="en-US"/>
        </w:rPr>
        <w:t>.</w:t>
      </w:r>
      <w:r w:rsidRPr="005028C6">
        <w:rPr>
          <w:rFonts w:asciiTheme="minorHAnsi" w:eastAsiaTheme="minorHAnsi" w:hAnsiTheme="minorHAnsi" w:cstheme="minorHAnsi"/>
          <w:bCs/>
          <w:sz w:val="22"/>
          <w:szCs w:val="22"/>
          <w:lang w:val="en-US"/>
        </w:rPr>
        <w:t xml:space="preserve"> </w:t>
      </w:r>
      <w:r w:rsidRPr="005028C6">
        <w:rPr>
          <w:rFonts w:asciiTheme="minorHAnsi" w:eastAsiaTheme="minorHAnsi" w:hAnsiTheme="minorHAnsi" w:cstheme="minorHAnsi"/>
          <w:sz w:val="22"/>
          <w:szCs w:val="22"/>
          <w:lang w:val="en-US"/>
        </w:rPr>
        <w:t>Intervening on</w:t>
      </w:r>
      <w:r w:rsidRPr="005028C6">
        <w:rPr>
          <w:rFonts w:asciiTheme="minorHAnsi" w:eastAsiaTheme="minorHAnsi" w:hAnsiTheme="minorHAnsi" w:cstheme="minorHAnsi"/>
          <w:bCs/>
          <w:sz w:val="22"/>
          <w:szCs w:val="22"/>
          <w:lang w:val="en-US"/>
        </w:rPr>
        <w:t xml:space="preserve"> </w:t>
      </w:r>
      <w:r w:rsidRPr="005028C6">
        <w:rPr>
          <w:rFonts w:asciiTheme="minorHAnsi" w:eastAsiaTheme="minorHAnsi" w:hAnsiTheme="minorHAnsi" w:cstheme="minorHAnsi"/>
          <w:sz w:val="22"/>
          <w:szCs w:val="22"/>
          <w:lang w:val="en-US"/>
        </w:rPr>
        <w:t>Disability Attitudes through Disability Models and Contact in</w:t>
      </w:r>
      <w:r w:rsidRPr="005028C6">
        <w:rPr>
          <w:rFonts w:asciiTheme="minorHAnsi" w:eastAsiaTheme="minorHAnsi" w:hAnsiTheme="minorHAnsi" w:cstheme="minorHAnsi"/>
          <w:bCs/>
          <w:sz w:val="22"/>
          <w:szCs w:val="22"/>
          <w:lang w:val="en-US"/>
        </w:rPr>
        <w:t xml:space="preserve"> </w:t>
      </w:r>
      <w:r w:rsidRPr="005028C6">
        <w:rPr>
          <w:rFonts w:asciiTheme="minorHAnsi" w:eastAsiaTheme="minorHAnsi" w:hAnsiTheme="minorHAnsi" w:cstheme="minorHAnsi"/>
          <w:sz w:val="22"/>
          <w:szCs w:val="22"/>
          <w:lang w:val="en-US"/>
        </w:rPr>
        <w:t xml:space="preserve">Psychology Education. </w:t>
      </w:r>
      <w:r w:rsidRPr="005028C6">
        <w:rPr>
          <w:rFonts w:asciiTheme="minorHAnsi" w:eastAsiaTheme="minorHAnsi" w:hAnsiTheme="minorHAnsi" w:cstheme="minorHAnsi"/>
          <w:i/>
          <w:iCs/>
          <w:sz w:val="22"/>
          <w:szCs w:val="22"/>
          <w:lang w:val="en-US"/>
        </w:rPr>
        <w:t>Scholarship of</w:t>
      </w:r>
      <w:r w:rsidRPr="005028C6">
        <w:rPr>
          <w:rFonts w:asciiTheme="minorHAnsi" w:eastAsiaTheme="minorHAnsi" w:hAnsiTheme="minorHAnsi" w:cstheme="minorHAnsi"/>
          <w:bCs/>
          <w:i/>
          <w:iCs/>
          <w:sz w:val="22"/>
          <w:szCs w:val="22"/>
          <w:lang w:val="en-US"/>
        </w:rPr>
        <w:t xml:space="preserve"> </w:t>
      </w:r>
      <w:r w:rsidRPr="005028C6">
        <w:rPr>
          <w:rFonts w:asciiTheme="minorHAnsi" w:eastAsiaTheme="minorHAnsi" w:hAnsiTheme="minorHAnsi" w:cstheme="minorHAnsi"/>
          <w:i/>
          <w:iCs/>
          <w:sz w:val="22"/>
          <w:szCs w:val="22"/>
          <w:lang w:val="en-US"/>
        </w:rPr>
        <w:t xml:space="preserve">Teaching and Learning in Psychology, </w:t>
      </w:r>
      <w:r w:rsidRPr="005028C6">
        <w:rPr>
          <w:rFonts w:asciiTheme="minorHAnsi" w:eastAsiaTheme="minorHAnsi" w:hAnsiTheme="minorHAnsi" w:cstheme="minorHAnsi"/>
          <w:i/>
          <w:sz w:val="22"/>
          <w:szCs w:val="22"/>
          <w:lang w:val="en-US"/>
        </w:rPr>
        <w:t>8</w:t>
      </w:r>
      <w:r w:rsidRPr="005028C6">
        <w:rPr>
          <w:rFonts w:asciiTheme="minorHAnsi" w:eastAsiaTheme="minorHAnsi" w:hAnsiTheme="minorHAnsi" w:cstheme="minorHAnsi"/>
          <w:sz w:val="22"/>
          <w:szCs w:val="22"/>
          <w:lang w:val="en-US"/>
        </w:rPr>
        <w:t xml:space="preserve">(1): 15–26. DOI: </w:t>
      </w:r>
      <w:hyperlink r:id="rId16" w:history="1">
        <w:r w:rsidRPr="005028C6">
          <w:rPr>
            <w:rStyle w:val="-"/>
            <w:rFonts w:asciiTheme="minorHAnsi" w:eastAsiaTheme="minorHAnsi" w:hAnsiTheme="minorHAnsi" w:cstheme="minorHAnsi"/>
            <w:sz w:val="22"/>
            <w:szCs w:val="22"/>
            <w:lang w:val="en-US"/>
          </w:rPr>
          <w:t>https://doi.org/10.1037/stl0000194</w:t>
        </w:r>
      </w:hyperlink>
      <w:r w:rsidRPr="005028C6">
        <w:rPr>
          <w:rStyle w:val="-"/>
          <w:rFonts w:asciiTheme="minorHAnsi" w:eastAsiaTheme="minorHAnsi" w:hAnsiTheme="minorHAnsi" w:cstheme="minorHAnsi"/>
          <w:sz w:val="22"/>
          <w:szCs w:val="22"/>
          <w:lang w:val="en-US"/>
        </w:rPr>
        <w:t xml:space="preserve">. </w:t>
      </w:r>
    </w:p>
    <w:p w14:paraId="3CDFC1FD" w14:textId="77777777" w:rsidR="005028C6" w:rsidRPr="005028C6" w:rsidRDefault="005028C6" w:rsidP="005028C6">
      <w:pPr>
        <w:pStyle w:val="1"/>
        <w:tabs>
          <w:tab w:val="left" w:pos="7230"/>
        </w:tabs>
        <w:ind w:left="0" w:firstLine="567"/>
        <w:rPr>
          <w:rFonts w:asciiTheme="minorHAnsi" w:hAnsiTheme="minorHAnsi" w:cstheme="minorHAnsi"/>
          <w:sz w:val="22"/>
          <w:szCs w:val="22"/>
          <w:u w:val="single"/>
          <w:lang w:val="en-US"/>
        </w:rPr>
      </w:pPr>
      <w:proofErr w:type="spellStart"/>
      <w:r w:rsidRPr="005028C6">
        <w:rPr>
          <w:rFonts w:asciiTheme="minorHAnsi" w:hAnsiTheme="minorHAnsi" w:cstheme="minorHAnsi"/>
          <w:sz w:val="22"/>
          <w:szCs w:val="22"/>
          <w:lang w:val="en-US"/>
        </w:rPr>
        <w:t>Bruyère</w:t>
      </w:r>
      <w:proofErr w:type="spellEnd"/>
      <w:r w:rsidRPr="005028C6">
        <w:rPr>
          <w:rFonts w:asciiTheme="minorHAnsi" w:hAnsiTheme="minorHAnsi" w:cstheme="minorHAnsi"/>
          <w:sz w:val="22"/>
          <w:szCs w:val="22"/>
          <w:lang w:val="en-US"/>
        </w:rPr>
        <w:t xml:space="preserve">, S. M., &amp; Martínez-Tur, V. (2019). Employment, disability and the role of work psychology. </w:t>
      </w:r>
      <w:r w:rsidRPr="005028C6">
        <w:rPr>
          <w:rFonts w:asciiTheme="minorHAnsi" w:hAnsiTheme="minorHAnsi" w:cstheme="minorHAnsi"/>
          <w:i/>
          <w:sz w:val="22"/>
          <w:szCs w:val="22"/>
          <w:lang w:val="en-US"/>
        </w:rPr>
        <w:t>The Industrial-Organizational Psychologist</w:t>
      </w:r>
      <w:r w:rsidRPr="005028C6">
        <w:rPr>
          <w:rFonts w:asciiTheme="minorHAnsi" w:hAnsiTheme="minorHAnsi" w:cstheme="minorHAnsi"/>
          <w:sz w:val="22"/>
          <w:szCs w:val="22"/>
          <w:lang w:val="en-US"/>
        </w:rPr>
        <w:t xml:space="preserve">, 56(3). </w:t>
      </w:r>
    </w:p>
    <w:p w14:paraId="6F21CE2A" w14:textId="77777777" w:rsidR="005028C6" w:rsidRPr="005028C6" w:rsidRDefault="005028C6" w:rsidP="005028C6">
      <w:pPr>
        <w:pStyle w:val="1"/>
        <w:tabs>
          <w:tab w:val="left" w:pos="7230"/>
        </w:tabs>
        <w:ind w:left="0" w:firstLine="567"/>
        <w:rPr>
          <w:rFonts w:asciiTheme="minorHAnsi" w:hAnsiTheme="minorHAnsi" w:cstheme="minorHAnsi"/>
          <w:sz w:val="22"/>
          <w:szCs w:val="22"/>
          <w:u w:val="single"/>
          <w:lang w:val="en-US"/>
        </w:rPr>
      </w:pPr>
      <w:r w:rsidRPr="005028C6">
        <w:rPr>
          <w:rFonts w:asciiTheme="minorHAnsi" w:hAnsiTheme="minorHAnsi" w:cstheme="minorHAnsi"/>
          <w:sz w:val="22"/>
          <w:szCs w:val="22"/>
          <w:lang w:val="en-US" w:eastAsia="el-GR"/>
        </w:rPr>
        <w:t xml:space="preserve">Chan, T. F., Golub, G. H., &amp; Leveque, R. J. (1983). Algorithms for Computing the Sample Variance: Analysis and Recommendations. </w:t>
      </w:r>
      <w:r w:rsidRPr="005028C6">
        <w:rPr>
          <w:rFonts w:asciiTheme="minorHAnsi" w:hAnsiTheme="minorHAnsi" w:cstheme="minorHAnsi"/>
          <w:i/>
          <w:iCs/>
          <w:sz w:val="22"/>
          <w:szCs w:val="22"/>
          <w:lang w:val="en-US" w:eastAsia="el-GR"/>
        </w:rPr>
        <w:t>The American Statistician</w:t>
      </w:r>
      <w:r w:rsidRPr="005028C6">
        <w:rPr>
          <w:rFonts w:asciiTheme="minorHAnsi" w:hAnsiTheme="minorHAnsi" w:cstheme="minorHAnsi"/>
          <w:sz w:val="22"/>
          <w:szCs w:val="22"/>
          <w:lang w:val="en-US" w:eastAsia="el-GR"/>
        </w:rPr>
        <w:t xml:space="preserve">, </w:t>
      </w:r>
      <w:r w:rsidRPr="005028C6">
        <w:rPr>
          <w:rFonts w:asciiTheme="minorHAnsi" w:hAnsiTheme="minorHAnsi" w:cstheme="minorHAnsi"/>
          <w:i/>
          <w:iCs/>
          <w:sz w:val="22"/>
          <w:szCs w:val="22"/>
          <w:lang w:val="en-US" w:eastAsia="el-GR"/>
        </w:rPr>
        <w:t>37</w:t>
      </w:r>
      <w:r w:rsidRPr="005028C6">
        <w:rPr>
          <w:rFonts w:asciiTheme="minorHAnsi" w:hAnsiTheme="minorHAnsi" w:cstheme="minorHAnsi"/>
          <w:sz w:val="22"/>
          <w:szCs w:val="22"/>
          <w:lang w:val="en-US" w:eastAsia="el-GR"/>
        </w:rPr>
        <w:t xml:space="preserve">(3), 242–247. </w:t>
      </w:r>
      <w:hyperlink r:id="rId17" w:history="1">
        <w:r w:rsidRPr="005028C6">
          <w:rPr>
            <w:rStyle w:val="-"/>
            <w:rFonts w:asciiTheme="minorHAnsi" w:hAnsiTheme="minorHAnsi" w:cstheme="minorHAnsi"/>
            <w:sz w:val="22"/>
            <w:szCs w:val="22"/>
            <w:lang w:val="en-US" w:eastAsia="el-GR"/>
          </w:rPr>
          <w:t>https://doi.org/10.1080/00031305.1983.10483115</w:t>
        </w:r>
      </w:hyperlink>
      <w:r w:rsidRPr="005028C6">
        <w:rPr>
          <w:rFonts w:asciiTheme="minorHAnsi" w:hAnsiTheme="minorHAnsi" w:cstheme="minorHAnsi"/>
          <w:sz w:val="22"/>
          <w:szCs w:val="22"/>
          <w:lang w:val="en-US" w:eastAsia="el-GR"/>
        </w:rPr>
        <w:t xml:space="preserve">. </w:t>
      </w:r>
    </w:p>
    <w:p w14:paraId="7EEF177E" w14:textId="77777777" w:rsidR="005028C6" w:rsidRPr="005028C6" w:rsidRDefault="005028C6" w:rsidP="005028C6">
      <w:pPr>
        <w:tabs>
          <w:tab w:val="left" w:pos="7230"/>
        </w:tabs>
        <w:ind w:firstLine="567"/>
        <w:jc w:val="both"/>
        <w:rPr>
          <w:rFonts w:asciiTheme="minorHAnsi" w:hAnsiTheme="minorHAnsi" w:cstheme="minorHAnsi"/>
          <w:sz w:val="22"/>
          <w:szCs w:val="22"/>
          <w:lang w:val="en-US"/>
        </w:rPr>
      </w:pPr>
      <w:r w:rsidRPr="005028C6">
        <w:rPr>
          <w:rFonts w:asciiTheme="minorHAnsi" w:hAnsiTheme="minorHAnsi" w:cstheme="minorHAnsi"/>
          <w:sz w:val="22"/>
          <w:szCs w:val="22"/>
          <w:lang w:val="en-US" w:eastAsia="el-GR"/>
        </w:rPr>
        <w:t xml:space="preserve"> Chapman, K., Ehrlich, C., </w:t>
      </w:r>
      <w:proofErr w:type="spellStart"/>
      <w:r w:rsidRPr="005028C6">
        <w:rPr>
          <w:rFonts w:asciiTheme="minorHAnsi" w:hAnsiTheme="minorHAnsi" w:cstheme="minorHAnsi"/>
          <w:sz w:val="22"/>
          <w:szCs w:val="22"/>
          <w:lang w:val="en-US" w:eastAsia="el-GR"/>
        </w:rPr>
        <w:t>O’Loghlen</w:t>
      </w:r>
      <w:proofErr w:type="spellEnd"/>
      <w:r w:rsidRPr="005028C6">
        <w:rPr>
          <w:rFonts w:asciiTheme="minorHAnsi" w:hAnsiTheme="minorHAnsi" w:cstheme="minorHAnsi"/>
          <w:sz w:val="22"/>
          <w:szCs w:val="22"/>
          <w:lang w:val="en-US" w:eastAsia="el-GR"/>
        </w:rPr>
        <w:t xml:space="preserve">, J., &amp; Kendall, E. (2023). The dignity experience of people with disability when using trains and buses in an Australian city. </w:t>
      </w:r>
      <w:r w:rsidRPr="005028C6">
        <w:rPr>
          <w:rFonts w:asciiTheme="minorHAnsi" w:hAnsiTheme="minorHAnsi" w:cstheme="minorHAnsi"/>
          <w:i/>
          <w:iCs/>
          <w:sz w:val="22"/>
          <w:szCs w:val="22"/>
          <w:lang w:val="en-US" w:eastAsia="el-GR"/>
        </w:rPr>
        <w:t>Disability &amp; Society</w:t>
      </w:r>
      <w:r w:rsidRPr="005028C6">
        <w:rPr>
          <w:rFonts w:asciiTheme="minorHAnsi" w:hAnsiTheme="minorHAnsi" w:cstheme="minorHAnsi"/>
          <w:sz w:val="22"/>
          <w:szCs w:val="22"/>
          <w:lang w:val="en-US" w:eastAsia="el-GR"/>
        </w:rPr>
        <w:t xml:space="preserve">, </w:t>
      </w:r>
      <w:r w:rsidRPr="005028C6">
        <w:rPr>
          <w:rFonts w:asciiTheme="minorHAnsi" w:hAnsiTheme="minorHAnsi" w:cstheme="minorHAnsi"/>
          <w:i/>
          <w:iCs/>
          <w:sz w:val="22"/>
          <w:szCs w:val="22"/>
          <w:lang w:val="en-US" w:eastAsia="el-GR"/>
        </w:rPr>
        <w:t>39</w:t>
      </w:r>
      <w:r w:rsidRPr="005028C6">
        <w:rPr>
          <w:rFonts w:asciiTheme="minorHAnsi" w:hAnsiTheme="minorHAnsi" w:cstheme="minorHAnsi"/>
          <w:sz w:val="22"/>
          <w:szCs w:val="22"/>
          <w:lang w:val="en-US" w:eastAsia="el-GR"/>
        </w:rPr>
        <w:t xml:space="preserve">(9), 2375–2399. </w:t>
      </w:r>
      <w:hyperlink r:id="rId18" w:history="1">
        <w:r w:rsidRPr="005028C6">
          <w:rPr>
            <w:rStyle w:val="-"/>
            <w:rFonts w:asciiTheme="minorHAnsi" w:hAnsiTheme="minorHAnsi" w:cstheme="minorHAnsi"/>
            <w:sz w:val="22"/>
            <w:szCs w:val="22"/>
            <w:lang w:val="en-US" w:eastAsia="el-GR"/>
          </w:rPr>
          <w:t>https://doi.org/10.1080/09687599.2023.2203307</w:t>
        </w:r>
      </w:hyperlink>
      <w:r w:rsidRPr="005028C6">
        <w:rPr>
          <w:rFonts w:asciiTheme="minorHAnsi" w:hAnsiTheme="minorHAnsi" w:cstheme="minorHAnsi"/>
          <w:sz w:val="22"/>
          <w:szCs w:val="22"/>
          <w:lang w:val="en-US" w:eastAsia="el-GR"/>
        </w:rPr>
        <w:t xml:space="preserve">. </w:t>
      </w:r>
    </w:p>
    <w:p w14:paraId="35652EE4" w14:textId="77777777" w:rsidR="005028C6" w:rsidRPr="005028C6" w:rsidRDefault="005028C6" w:rsidP="005028C6">
      <w:pPr>
        <w:tabs>
          <w:tab w:val="left" w:pos="7230"/>
        </w:tabs>
        <w:ind w:firstLine="567"/>
        <w:jc w:val="both"/>
        <w:rPr>
          <w:rFonts w:asciiTheme="minorHAnsi" w:hAnsiTheme="minorHAnsi" w:cstheme="minorHAnsi"/>
          <w:sz w:val="22"/>
          <w:szCs w:val="22"/>
          <w:lang w:val="en-US"/>
        </w:rPr>
      </w:pPr>
      <w:r w:rsidRPr="005028C6">
        <w:rPr>
          <w:rFonts w:asciiTheme="minorHAnsi" w:hAnsiTheme="minorHAnsi" w:cstheme="minorHAnsi"/>
          <w:sz w:val="22"/>
          <w:szCs w:val="22"/>
          <w:lang w:val="en-US"/>
        </w:rPr>
        <w:t xml:space="preserve"> Chin, W.W, Gopal, A. &amp; Salisbury, W.D.  (1997). Advancing the theory of adaptive structuration: The development of a scale to measure faithfulness of appropriation, </w:t>
      </w:r>
      <w:r w:rsidRPr="005028C6">
        <w:rPr>
          <w:rFonts w:asciiTheme="minorHAnsi" w:hAnsiTheme="minorHAnsi" w:cstheme="minorHAnsi"/>
          <w:i/>
          <w:sz w:val="22"/>
          <w:szCs w:val="22"/>
          <w:lang w:val="en-US"/>
        </w:rPr>
        <w:t>Information Systems Research, 8</w:t>
      </w:r>
      <w:r w:rsidRPr="005028C6">
        <w:rPr>
          <w:rFonts w:asciiTheme="minorHAnsi" w:hAnsiTheme="minorHAnsi" w:cstheme="minorHAnsi"/>
          <w:sz w:val="22"/>
          <w:szCs w:val="22"/>
          <w:lang w:val="en-US"/>
        </w:rPr>
        <w:t xml:space="preserve">(4), 342-367. </w:t>
      </w:r>
      <w:hyperlink r:id="rId19" w:history="1">
        <w:r w:rsidRPr="005028C6">
          <w:rPr>
            <w:rStyle w:val="-"/>
            <w:rFonts w:asciiTheme="minorHAnsi" w:hAnsiTheme="minorHAnsi" w:cstheme="minorHAnsi"/>
            <w:sz w:val="22"/>
            <w:szCs w:val="22"/>
            <w:lang w:val="en-US"/>
          </w:rPr>
          <w:t>https://doi.org/10.1287/isre.8.4.342</w:t>
        </w:r>
      </w:hyperlink>
      <w:r w:rsidRPr="005028C6">
        <w:rPr>
          <w:rFonts w:asciiTheme="minorHAnsi" w:hAnsiTheme="minorHAnsi" w:cstheme="minorHAnsi"/>
          <w:sz w:val="22"/>
          <w:szCs w:val="22"/>
          <w:lang w:val="en-US"/>
        </w:rPr>
        <w:t>.</w:t>
      </w:r>
    </w:p>
    <w:p w14:paraId="05C4ACE2" w14:textId="77777777" w:rsidR="005028C6" w:rsidRPr="005028C6" w:rsidRDefault="005028C6" w:rsidP="005028C6">
      <w:pPr>
        <w:tabs>
          <w:tab w:val="left" w:pos="7230"/>
        </w:tabs>
        <w:ind w:firstLine="567"/>
        <w:jc w:val="both"/>
        <w:rPr>
          <w:rFonts w:asciiTheme="minorHAnsi" w:hAnsiTheme="minorHAnsi" w:cstheme="minorHAnsi"/>
          <w:sz w:val="22"/>
          <w:szCs w:val="22"/>
          <w:lang w:val="en-US"/>
        </w:rPr>
      </w:pPr>
      <w:r w:rsidRPr="005028C6">
        <w:rPr>
          <w:rFonts w:asciiTheme="minorHAnsi" w:eastAsiaTheme="minorHAnsi" w:hAnsiTheme="minorHAnsi" w:cstheme="minorHAnsi"/>
          <w:sz w:val="22"/>
          <w:szCs w:val="22"/>
          <w:lang w:val="en-US"/>
        </w:rPr>
        <w:lastRenderedPageBreak/>
        <w:t xml:space="preserve">Churchill, G. A. (1979). A Paradigm for Developing Better Measures of Marketing Constructs. </w:t>
      </w:r>
      <w:r w:rsidRPr="005028C6">
        <w:rPr>
          <w:rFonts w:asciiTheme="minorHAnsi" w:eastAsiaTheme="minorHAnsi" w:hAnsiTheme="minorHAnsi" w:cstheme="minorHAnsi"/>
          <w:i/>
          <w:iCs/>
          <w:sz w:val="22"/>
          <w:szCs w:val="22"/>
          <w:lang w:val="en-US"/>
        </w:rPr>
        <w:t>Journal of Marketing Research</w:t>
      </w:r>
      <w:r w:rsidRPr="005028C6">
        <w:rPr>
          <w:rFonts w:asciiTheme="minorHAnsi" w:eastAsiaTheme="minorHAnsi" w:hAnsiTheme="minorHAnsi" w:cstheme="minorHAnsi"/>
          <w:sz w:val="22"/>
          <w:szCs w:val="22"/>
          <w:lang w:val="en-US"/>
        </w:rPr>
        <w:t xml:space="preserve">, </w:t>
      </w:r>
      <w:r w:rsidRPr="005028C6">
        <w:rPr>
          <w:rFonts w:asciiTheme="minorHAnsi" w:eastAsiaTheme="minorHAnsi" w:hAnsiTheme="minorHAnsi" w:cstheme="minorHAnsi"/>
          <w:i/>
          <w:iCs/>
          <w:sz w:val="22"/>
          <w:szCs w:val="22"/>
          <w:lang w:val="en-US"/>
        </w:rPr>
        <w:t>16</w:t>
      </w:r>
      <w:r w:rsidRPr="005028C6">
        <w:rPr>
          <w:rFonts w:asciiTheme="minorHAnsi" w:eastAsiaTheme="minorHAnsi" w:hAnsiTheme="minorHAnsi" w:cstheme="minorHAnsi"/>
          <w:sz w:val="22"/>
          <w:szCs w:val="22"/>
          <w:lang w:val="en-US"/>
        </w:rPr>
        <w:t xml:space="preserve">(1), 64-73. </w:t>
      </w:r>
      <w:hyperlink r:id="rId20" w:history="1">
        <w:r w:rsidRPr="005028C6">
          <w:rPr>
            <w:rFonts w:asciiTheme="minorHAnsi" w:eastAsiaTheme="minorHAnsi" w:hAnsiTheme="minorHAnsi" w:cstheme="minorHAnsi"/>
            <w:color w:val="0000FF"/>
            <w:sz w:val="22"/>
            <w:szCs w:val="22"/>
            <w:u w:val="single"/>
            <w:lang w:val="en-US"/>
          </w:rPr>
          <w:t>https://doi.org/10.1177/002224377901600110</w:t>
        </w:r>
      </w:hyperlink>
      <w:r w:rsidRPr="005028C6">
        <w:rPr>
          <w:rFonts w:asciiTheme="minorHAnsi" w:hAnsiTheme="minorHAnsi" w:cstheme="minorHAnsi"/>
          <w:sz w:val="22"/>
          <w:szCs w:val="22"/>
          <w:lang w:val="en-US"/>
        </w:rPr>
        <w:t xml:space="preserve">. </w:t>
      </w:r>
    </w:p>
    <w:p w14:paraId="65291B96" w14:textId="77777777" w:rsidR="005028C6" w:rsidRPr="005028C6" w:rsidRDefault="005028C6" w:rsidP="005028C6">
      <w:pPr>
        <w:tabs>
          <w:tab w:val="left" w:pos="7230"/>
        </w:tabs>
        <w:ind w:firstLine="567"/>
        <w:jc w:val="both"/>
        <w:rPr>
          <w:rFonts w:asciiTheme="minorHAnsi" w:hAnsiTheme="minorHAnsi" w:cstheme="minorHAnsi"/>
          <w:sz w:val="22"/>
          <w:szCs w:val="22"/>
          <w:lang w:val="en-US"/>
        </w:rPr>
      </w:pPr>
      <w:r w:rsidRPr="005028C6">
        <w:rPr>
          <w:rFonts w:asciiTheme="minorHAnsi" w:hAnsiTheme="minorHAnsi" w:cstheme="minorHAnsi"/>
          <w:sz w:val="22"/>
          <w:szCs w:val="22"/>
          <w:lang w:val="en-US"/>
        </w:rPr>
        <w:t xml:space="preserve">Convention of Convention on the Rights of Persons with Disabilities (CRPD): </w:t>
      </w:r>
      <w:hyperlink r:id="rId21" w:history="1">
        <w:r w:rsidRPr="005028C6">
          <w:rPr>
            <w:rStyle w:val="-"/>
            <w:rFonts w:asciiTheme="minorHAnsi" w:hAnsiTheme="minorHAnsi" w:cstheme="minorHAnsi"/>
            <w:sz w:val="22"/>
            <w:szCs w:val="22"/>
            <w:lang w:val="en-US"/>
          </w:rPr>
          <w:t>https://social.desa.un.org/issues/disability/crpd/convention-on-the-rights-of-persons-with-disabilities-crpd</w:t>
        </w:r>
      </w:hyperlink>
      <w:r w:rsidRPr="005028C6">
        <w:rPr>
          <w:rStyle w:val="-"/>
          <w:rFonts w:asciiTheme="minorHAnsi" w:hAnsiTheme="minorHAnsi" w:cstheme="minorHAnsi"/>
          <w:sz w:val="22"/>
          <w:szCs w:val="22"/>
          <w:lang w:val="en-US"/>
        </w:rPr>
        <w:t xml:space="preserve">. </w:t>
      </w:r>
    </w:p>
    <w:p w14:paraId="62732E5A" w14:textId="77777777" w:rsidR="00B41324" w:rsidRPr="005028C6" w:rsidRDefault="00B41324" w:rsidP="00B41324">
      <w:pPr>
        <w:tabs>
          <w:tab w:val="left" w:pos="7230"/>
        </w:tabs>
        <w:ind w:firstLine="567"/>
        <w:jc w:val="both"/>
        <w:rPr>
          <w:rFonts w:asciiTheme="minorHAnsi" w:hAnsiTheme="minorHAnsi" w:cstheme="minorHAnsi"/>
          <w:sz w:val="22"/>
          <w:szCs w:val="22"/>
          <w:lang w:val="en-US"/>
        </w:rPr>
      </w:pPr>
      <w:r w:rsidRPr="005028C6">
        <w:rPr>
          <w:rFonts w:asciiTheme="minorHAnsi" w:hAnsiTheme="minorHAnsi" w:cstheme="minorHAnsi"/>
          <w:sz w:val="22"/>
          <w:szCs w:val="22"/>
          <w:lang w:val="en-US"/>
        </w:rPr>
        <w:t xml:space="preserve">Costello, A. B. &amp; Osborne, J., (2005) “Best practices in exploratory factor analysis: four recommendations for getting the most from your analysis”, </w:t>
      </w:r>
      <w:r w:rsidRPr="005028C6">
        <w:rPr>
          <w:rFonts w:asciiTheme="minorHAnsi" w:hAnsiTheme="minorHAnsi" w:cstheme="minorHAnsi"/>
          <w:i/>
          <w:iCs/>
          <w:sz w:val="22"/>
          <w:szCs w:val="22"/>
          <w:lang w:val="en-US"/>
        </w:rPr>
        <w:t>Practical Assessment, Research, and Evaluation</w:t>
      </w:r>
      <w:r w:rsidRPr="005028C6">
        <w:rPr>
          <w:rFonts w:asciiTheme="minorHAnsi" w:hAnsiTheme="minorHAnsi" w:cstheme="minorHAnsi"/>
          <w:sz w:val="22"/>
          <w:szCs w:val="22"/>
          <w:lang w:val="en-US"/>
        </w:rPr>
        <w:t xml:space="preserve"> 10(1): 7. </w:t>
      </w:r>
      <w:proofErr w:type="spellStart"/>
      <w:r w:rsidRPr="005028C6">
        <w:rPr>
          <w:rFonts w:asciiTheme="minorHAnsi" w:hAnsiTheme="minorHAnsi" w:cstheme="minorHAnsi"/>
          <w:sz w:val="22"/>
          <w:szCs w:val="22"/>
          <w:lang w:val="en-US"/>
        </w:rPr>
        <w:t>doi</w:t>
      </w:r>
      <w:proofErr w:type="spellEnd"/>
      <w:r w:rsidRPr="005028C6">
        <w:rPr>
          <w:rFonts w:asciiTheme="minorHAnsi" w:hAnsiTheme="minorHAnsi" w:cstheme="minorHAnsi"/>
          <w:sz w:val="22"/>
          <w:szCs w:val="22"/>
          <w:lang w:val="en-US"/>
        </w:rPr>
        <w:t xml:space="preserve">: </w:t>
      </w:r>
      <w:hyperlink r:id="rId22" w:history="1">
        <w:r w:rsidRPr="005028C6">
          <w:rPr>
            <w:rFonts w:asciiTheme="minorHAnsi" w:hAnsiTheme="minorHAnsi" w:cstheme="minorHAnsi"/>
            <w:color w:val="0000FF"/>
            <w:sz w:val="22"/>
            <w:szCs w:val="22"/>
            <w:u w:val="single"/>
            <w:lang w:val="en-US"/>
          </w:rPr>
          <w:t>https://doi.org/10.7275/jyj1-4868</w:t>
        </w:r>
      </w:hyperlink>
      <w:r w:rsidRPr="005028C6">
        <w:rPr>
          <w:rFonts w:asciiTheme="minorHAnsi" w:hAnsiTheme="minorHAnsi" w:cstheme="minorHAnsi"/>
          <w:sz w:val="22"/>
          <w:szCs w:val="22"/>
          <w:lang w:val="en-US"/>
        </w:rPr>
        <w:t>.</w:t>
      </w:r>
    </w:p>
    <w:p w14:paraId="77C617D8" w14:textId="77777777" w:rsidR="00B41324" w:rsidRPr="005028C6" w:rsidRDefault="00B41324" w:rsidP="00B41324">
      <w:pPr>
        <w:pStyle w:val="1"/>
        <w:tabs>
          <w:tab w:val="left" w:pos="7230"/>
        </w:tabs>
        <w:ind w:left="0" w:firstLine="567"/>
        <w:rPr>
          <w:rFonts w:asciiTheme="minorHAnsi" w:hAnsiTheme="minorHAnsi" w:cstheme="minorHAnsi"/>
          <w:sz w:val="22"/>
          <w:szCs w:val="22"/>
          <w:lang w:val="en-US"/>
        </w:rPr>
      </w:pPr>
      <w:r w:rsidRPr="005028C6">
        <w:rPr>
          <w:rFonts w:asciiTheme="minorHAnsi" w:eastAsiaTheme="minorHAnsi" w:hAnsiTheme="minorHAnsi" w:cstheme="minorHAnsi"/>
          <w:sz w:val="22"/>
          <w:szCs w:val="22"/>
          <w:lang w:val="en-US"/>
        </w:rPr>
        <w:t xml:space="preserve">DeCarlo, L. T. (1997). On the meaning and use of kurtosis. </w:t>
      </w:r>
      <w:r w:rsidRPr="005028C6">
        <w:rPr>
          <w:rFonts w:asciiTheme="minorHAnsi" w:eastAsiaTheme="minorHAnsi" w:hAnsiTheme="minorHAnsi" w:cstheme="minorHAnsi"/>
          <w:i/>
          <w:iCs/>
          <w:sz w:val="22"/>
          <w:szCs w:val="22"/>
          <w:lang w:val="en-US"/>
        </w:rPr>
        <w:t>Psychological Methods, 2</w:t>
      </w:r>
      <w:r w:rsidRPr="005028C6">
        <w:rPr>
          <w:rFonts w:asciiTheme="minorHAnsi" w:eastAsiaTheme="minorHAnsi" w:hAnsiTheme="minorHAnsi" w:cstheme="minorHAnsi"/>
          <w:sz w:val="22"/>
          <w:szCs w:val="22"/>
          <w:lang w:val="en-US"/>
        </w:rPr>
        <w:t xml:space="preserve">(3), 292–307. </w:t>
      </w:r>
      <w:hyperlink r:id="rId23" w:tgtFrame="_blank" w:history="1">
        <w:r w:rsidRPr="005028C6">
          <w:rPr>
            <w:rFonts w:asciiTheme="minorHAnsi" w:eastAsiaTheme="minorHAnsi" w:hAnsiTheme="minorHAnsi" w:cstheme="minorHAnsi"/>
            <w:color w:val="0000FF"/>
            <w:sz w:val="22"/>
            <w:szCs w:val="22"/>
            <w:u w:val="single"/>
            <w:lang w:val="en-US"/>
          </w:rPr>
          <w:t>https://doi.org/10.1037/1082-989X.2.3.292</w:t>
        </w:r>
      </w:hyperlink>
      <w:r w:rsidRPr="005028C6">
        <w:rPr>
          <w:rFonts w:asciiTheme="minorHAnsi" w:hAnsiTheme="minorHAnsi" w:cstheme="minorHAnsi"/>
          <w:sz w:val="22"/>
          <w:szCs w:val="22"/>
          <w:lang w:val="en-US"/>
        </w:rPr>
        <w:t xml:space="preserve">. </w:t>
      </w:r>
    </w:p>
    <w:p w14:paraId="058DC1EB" w14:textId="77777777" w:rsidR="00B41324" w:rsidRPr="005028C6" w:rsidRDefault="00B41324" w:rsidP="00B41324">
      <w:pPr>
        <w:ind w:firstLine="720"/>
        <w:jc w:val="both"/>
        <w:rPr>
          <w:rFonts w:asciiTheme="minorHAnsi" w:hAnsiTheme="minorHAnsi" w:cstheme="minorHAnsi"/>
          <w:sz w:val="22"/>
          <w:szCs w:val="22"/>
          <w:lang w:val="en-US"/>
        </w:rPr>
      </w:pPr>
      <w:proofErr w:type="spellStart"/>
      <w:r w:rsidRPr="005028C6">
        <w:rPr>
          <w:rFonts w:asciiTheme="minorHAnsi" w:hAnsiTheme="minorHAnsi" w:cstheme="minorHAnsi"/>
          <w:sz w:val="22"/>
          <w:szCs w:val="22"/>
          <w:lang w:val="en-US" w:eastAsia="el-GR"/>
        </w:rPr>
        <w:t>Degener</w:t>
      </w:r>
      <w:proofErr w:type="spellEnd"/>
      <w:r w:rsidRPr="005028C6">
        <w:rPr>
          <w:rFonts w:asciiTheme="minorHAnsi" w:hAnsiTheme="minorHAnsi" w:cstheme="minorHAnsi"/>
          <w:sz w:val="22"/>
          <w:szCs w:val="22"/>
          <w:lang w:val="en-US" w:eastAsia="el-GR"/>
        </w:rPr>
        <w:t xml:space="preserve">, T. (2016). A human rights model of disability. In </w:t>
      </w:r>
      <w:r w:rsidRPr="005028C6">
        <w:rPr>
          <w:rFonts w:asciiTheme="minorHAnsi" w:hAnsiTheme="minorHAnsi" w:cstheme="minorHAnsi"/>
          <w:i/>
          <w:iCs/>
          <w:sz w:val="22"/>
          <w:szCs w:val="22"/>
          <w:lang w:val="en-US" w:eastAsia="el-GR"/>
        </w:rPr>
        <w:t>Routledge handbook of disability law and human rights</w:t>
      </w:r>
      <w:r w:rsidRPr="005028C6">
        <w:rPr>
          <w:rFonts w:asciiTheme="minorHAnsi" w:hAnsiTheme="minorHAnsi" w:cstheme="minorHAnsi"/>
          <w:sz w:val="22"/>
          <w:szCs w:val="22"/>
          <w:lang w:val="en-US" w:eastAsia="el-GR"/>
        </w:rPr>
        <w:t xml:space="preserve"> (pp. 31-49). </w:t>
      </w:r>
      <w:proofErr w:type="spellStart"/>
      <w:r w:rsidRPr="005028C6">
        <w:rPr>
          <w:rFonts w:asciiTheme="minorHAnsi" w:hAnsiTheme="minorHAnsi" w:cstheme="minorHAnsi"/>
          <w:sz w:val="22"/>
          <w:szCs w:val="22"/>
          <w:lang w:eastAsia="el-GR"/>
        </w:rPr>
        <w:t>Routledge</w:t>
      </w:r>
      <w:proofErr w:type="spellEnd"/>
      <w:r w:rsidRPr="005028C6">
        <w:rPr>
          <w:rFonts w:asciiTheme="minorHAnsi" w:hAnsiTheme="minorHAnsi" w:cstheme="minorHAnsi"/>
          <w:sz w:val="22"/>
          <w:szCs w:val="22"/>
          <w:lang w:eastAsia="el-GR"/>
        </w:rPr>
        <w:t>.</w:t>
      </w:r>
    </w:p>
    <w:p w14:paraId="2A54FF02" w14:textId="77777777" w:rsidR="00B41324" w:rsidRPr="005028C6" w:rsidRDefault="00B41324" w:rsidP="00B41324">
      <w:pPr>
        <w:pStyle w:val="1"/>
        <w:tabs>
          <w:tab w:val="left" w:pos="7230"/>
        </w:tabs>
        <w:ind w:left="0" w:firstLine="567"/>
        <w:rPr>
          <w:rFonts w:asciiTheme="minorHAnsi" w:hAnsiTheme="minorHAnsi" w:cstheme="minorHAnsi"/>
          <w:sz w:val="22"/>
          <w:szCs w:val="22"/>
          <w:lang w:val="en-US"/>
        </w:rPr>
      </w:pPr>
      <w:proofErr w:type="spellStart"/>
      <w:r w:rsidRPr="005028C6">
        <w:rPr>
          <w:rFonts w:asciiTheme="minorHAnsi" w:hAnsiTheme="minorHAnsi" w:cstheme="minorHAnsi"/>
          <w:sz w:val="22"/>
          <w:szCs w:val="22"/>
          <w:lang w:val="en-US"/>
        </w:rPr>
        <w:t>Estreder</w:t>
      </w:r>
      <w:proofErr w:type="spellEnd"/>
      <w:r w:rsidRPr="005028C6">
        <w:rPr>
          <w:rFonts w:asciiTheme="minorHAnsi" w:hAnsiTheme="minorHAnsi" w:cstheme="minorHAnsi"/>
          <w:sz w:val="22"/>
          <w:szCs w:val="22"/>
          <w:lang w:val="en-US"/>
        </w:rPr>
        <w:t xml:space="preserve">, Y., Martínez‐Tur, V., </w:t>
      </w:r>
      <w:proofErr w:type="spellStart"/>
      <w:r w:rsidRPr="005028C6">
        <w:rPr>
          <w:rFonts w:asciiTheme="minorHAnsi" w:hAnsiTheme="minorHAnsi" w:cstheme="minorHAnsi"/>
          <w:sz w:val="22"/>
          <w:szCs w:val="22"/>
          <w:lang w:val="en-US"/>
        </w:rPr>
        <w:t>Moliner</w:t>
      </w:r>
      <w:proofErr w:type="spellEnd"/>
      <w:r w:rsidRPr="005028C6">
        <w:rPr>
          <w:rFonts w:asciiTheme="minorHAnsi" w:hAnsiTheme="minorHAnsi" w:cstheme="minorHAnsi"/>
          <w:sz w:val="22"/>
          <w:szCs w:val="22"/>
          <w:lang w:val="en-US"/>
        </w:rPr>
        <w:t xml:space="preserve">, C., </w:t>
      </w:r>
      <w:proofErr w:type="spellStart"/>
      <w:r w:rsidRPr="005028C6">
        <w:rPr>
          <w:rFonts w:asciiTheme="minorHAnsi" w:hAnsiTheme="minorHAnsi" w:cstheme="minorHAnsi"/>
          <w:sz w:val="22"/>
          <w:szCs w:val="22"/>
          <w:lang w:val="en-US"/>
        </w:rPr>
        <w:t>Gracia</w:t>
      </w:r>
      <w:proofErr w:type="spellEnd"/>
      <w:r w:rsidRPr="005028C6">
        <w:rPr>
          <w:rFonts w:asciiTheme="minorHAnsi" w:hAnsiTheme="minorHAnsi" w:cstheme="minorHAnsi"/>
          <w:sz w:val="22"/>
          <w:szCs w:val="22"/>
          <w:lang w:val="en-US"/>
        </w:rPr>
        <w:t xml:space="preserve">, E., &amp; Lira, E. (2024). The voice of persons with intellectual disability: Why does autonomy support make them feel better? </w:t>
      </w:r>
      <w:r w:rsidRPr="005028C6">
        <w:rPr>
          <w:rStyle w:val="af6"/>
          <w:rFonts w:asciiTheme="minorHAnsi" w:hAnsiTheme="minorHAnsi" w:cstheme="minorHAnsi"/>
          <w:sz w:val="22"/>
          <w:szCs w:val="22"/>
          <w:lang w:val="en-US"/>
        </w:rPr>
        <w:t>Applied Psychology: An International Review, 73</w:t>
      </w:r>
      <w:r w:rsidRPr="005028C6">
        <w:rPr>
          <w:rFonts w:asciiTheme="minorHAnsi" w:hAnsiTheme="minorHAnsi" w:cstheme="minorHAnsi"/>
          <w:sz w:val="22"/>
          <w:szCs w:val="22"/>
          <w:lang w:val="en-US"/>
        </w:rPr>
        <w:t xml:space="preserve">(3), 1055–1070. </w:t>
      </w:r>
      <w:hyperlink r:id="rId24" w:tgtFrame="_blank" w:history="1">
        <w:r w:rsidRPr="005028C6">
          <w:rPr>
            <w:rStyle w:val="-"/>
            <w:rFonts w:asciiTheme="minorHAnsi" w:hAnsiTheme="minorHAnsi" w:cstheme="minorHAnsi"/>
            <w:sz w:val="22"/>
            <w:szCs w:val="22"/>
            <w:lang w:val="en-US"/>
          </w:rPr>
          <w:t>https://doi.org/10.1111/apps.12487</w:t>
        </w:r>
      </w:hyperlink>
      <w:r w:rsidRPr="005028C6">
        <w:rPr>
          <w:rStyle w:val="-"/>
          <w:rFonts w:asciiTheme="minorHAnsi" w:hAnsiTheme="minorHAnsi" w:cstheme="minorHAnsi"/>
          <w:sz w:val="22"/>
          <w:szCs w:val="22"/>
          <w:lang w:val="en-US"/>
        </w:rPr>
        <w:t xml:space="preserve">. </w:t>
      </w:r>
    </w:p>
    <w:p w14:paraId="19C7B0C4" w14:textId="77777777" w:rsidR="00B41324" w:rsidRPr="005028C6" w:rsidRDefault="00B41324" w:rsidP="00B41324">
      <w:pPr>
        <w:tabs>
          <w:tab w:val="left" w:pos="7230"/>
        </w:tabs>
        <w:ind w:firstLine="567"/>
        <w:jc w:val="both"/>
        <w:rPr>
          <w:rFonts w:asciiTheme="minorHAnsi" w:hAnsiTheme="minorHAnsi" w:cstheme="minorHAnsi"/>
          <w:sz w:val="22"/>
          <w:szCs w:val="22"/>
          <w:lang w:val="en-US"/>
        </w:rPr>
      </w:pPr>
      <w:r w:rsidRPr="005028C6">
        <w:rPr>
          <w:rFonts w:asciiTheme="minorHAnsi" w:hAnsiTheme="minorHAnsi" w:cstheme="minorHAnsi"/>
          <w:sz w:val="22"/>
          <w:szCs w:val="22"/>
          <w:lang w:val="en-US"/>
        </w:rPr>
        <w:t xml:space="preserve">Field A. (2009). </w:t>
      </w:r>
      <w:r w:rsidRPr="005028C6">
        <w:rPr>
          <w:rFonts w:asciiTheme="minorHAnsi" w:hAnsiTheme="minorHAnsi" w:cstheme="minorHAnsi"/>
          <w:i/>
          <w:sz w:val="22"/>
          <w:szCs w:val="22"/>
          <w:lang w:val="en-US"/>
        </w:rPr>
        <w:t>Discovering statistics using SPSS</w:t>
      </w:r>
      <w:r w:rsidRPr="005028C6">
        <w:rPr>
          <w:rFonts w:asciiTheme="minorHAnsi" w:hAnsiTheme="minorHAnsi" w:cstheme="minorHAnsi"/>
          <w:sz w:val="22"/>
          <w:szCs w:val="22"/>
          <w:lang w:val="en-US"/>
        </w:rPr>
        <w:t>, London: Sage Publications.</w:t>
      </w:r>
    </w:p>
    <w:p w14:paraId="1CD51C28" w14:textId="77777777" w:rsidR="00B41324" w:rsidRPr="005028C6" w:rsidRDefault="00B41324" w:rsidP="00B41324">
      <w:pPr>
        <w:tabs>
          <w:tab w:val="left" w:pos="7230"/>
        </w:tabs>
        <w:ind w:firstLine="567"/>
        <w:jc w:val="both"/>
        <w:rPr>
          <w:rFonts w:asciiTheme="minorHAnsi" w:hAnsiTheme="minorHAnsi" w:cstheme="minorHAnsi"/>
          <w:sz w:val="22"/>
          <w:szCs w:val="22"/>
          <w:lang w:val="en-US"/>
        </w:rPr>
      </w:pPr>
      <w:r w:rsidRPr="005028C6">
        <w:rPr>
          <w:rFonts w:asciiTheme="minorHAnsi" w:hAnsiTheme="minorHAnsi" w:cstheme="minorHAnsi"/>
          <w:sz w:val="22"/>
          <w:szCs w:val="22"/>
          <w:lang w:val="en-US"/>
        </w:rPr>
        <w:t xml:space="preserve">Finney, S.J. &amp; DiStefano, C. (2006). Non-normal and categorical data in structural equation modeling, In G.R. Hancock &amp; R.O. Mueller (Eds.), </w:t>
      </w:r>
      <w:r w:rsidRPr="005028C6">
        <w:rPr>
          <w:rFonts w:asciiTheme="minorHAnsi" w:hAnsiTheme="minorHAnsi" w:cstheme="minorHAnsi"/>
          <w:i/>
          <w:sz w:val="22"/>
          <w:szCs w:val="22"/>
          <w:lang w:val="en-US"/>
        </w:rPr>
        <w:t>Structural equation modeling: A second course</w:t>
      </w:r>
      <w:r w:rsidRPr="005028C6">
        <w:rPr>
          <w:rFonts w:asciiTheme="minorHAnsi" w:hAnsiTheme="minorHAnsi" w:cstheme="minorHAnsi"/>
          <w:sz w:val="22"/>
          <w:szCs w:val="22"/>
          <w:lang w:val="en-US"/>
        </w:rPr>
        <w:t xml:space="preserve"> (pp. 269-314), Greenwich, CT: Information Age.</w:t>
      </w:r>
    </w:p>
    <w:p w14:paraId="36A5F2EA" w14:textId="77777777" w:rsidR="00B41324" w:rsidRPr="005028C6" w:rsidRDefault="00B41324" w:rsidP="00B41324">
      <w:pPr>
        <w:ind w:firstLine="720"/>
        <w:jc w:val="both"/>
        <w:rPr>
          <w:rFonts w:asciiTheme="minorHAnsi" w:hAnsiTheme="minorHAnsi" w:cstheme="minorHAnsi"/>
          <w:sz w:val="22"/>
          <w:szCs w:val="22"/>
          <w:lang w:val="en-US"/>
        </w:rPr>
      </w:pPr>
      <w:r w:rsidRPr="005028C6">
        <w:rPr>
          <w:rFonts w:asciiTheme="minorHAnsi" w:hAnsiTheme="minorHAnsi" w:cstheme="minorHAnsi"/>
          <w:sz w:val="22"/>
          <w:szCs w:val="22"/>
          <w:lang w:val="en-US"/>
        </w:rPr>
        <w:t xml:space="preserve">Fisher, K.R. &amp; </w:t>
      </w:r>
      <w:proofErr w:type="spellStart"/>
      <w:r w:rsidRPr="005028C6">
        <w:rPr>
          <w:rFonts w:asciiTheme="minorHAnsi" w:hAnsiTheme="minorHAnsi" w:cstheme="minorHAnsi"/>
          <w:sz w:val="22"/>
          <w:szCs w:val="22"/>
          <w:lang w:val="en-US"/>
        </w:rPr>
        <w:t>Purcal</w:t>
      </w:r>
      <w:proofErr w:type="spellEnd"/>
      <w:r w:rsidRPr="005028C6">
        <w:rPr>
          <w:rFonts w:asciiTheme="minorHAnsi" w:hAnsiTheme="minorHAnsi" w:cstheme="minorHAnsi"/>
          <w:sz w:val="22"/>
          <w:szCs w:val="22"/>
          <w:lang w:val="en-US"/>
        </w:rPr>
        <w:t xml:space="preserve">, Ch. (2017). Policies to change attitudes to people with disabilities. </w:t>
      </w:r>
      <w:r w:rsidRPr="005028C6">
        <w:rPr>
          <w:rFonts w:asciiTheme="minorHAnsi" w:hAnsiTheme="minorHAnsi" w:cstheme="minorHAnsi"/>
          <w:i/>
          <w:sz w:val="22"/>
          <w:szCs w:val="22"/>
          <w:lang w:val="en-US"/>
        </w:rPr>
        <w:t>Scandinavian Journal of Disability Research,</w:t>
      </w:r>
      <w:r w:rsidRPr="005028C6">
        <w:rPr>
          <w:rFonts w:asciiTheme="minorHAnsi" w:hAnsiTheme="minorHAnsi" w:cstheme="minorHAnsi"/>
          <w:sz w:val="22"/>
          <w:szCs w:val="22"/>
          <w:lang w:val="en-US"/>
        </w:rPr>
        <w:t xml:space="preserve"> </w:t>
      </w:r>
      <w:r w:rsidRPr="005028C6">
        <w:rPr>
          <w:rFonts w:asciiTheme="minorHAnsi" w:hAnsiTheme="minorHAnsi" w:cstheme="minorHAnsi"/>
          <w:i/>
          <w:sz w:val="22"/>
          <w:szCs w:val="22"/>
          <w:lang w:val="en-US"/>
        </w:rPr>
        <w:t>19</w:t>
      </w:r>
      <w:r w:rsidRPr="005028C6">
        <w:rPr>
          <w:rFonts w:asciiTheme="minorHAnsi" w:hAnsiTheme="minorHAnsi" w:cstheme="minorHAnsi"/>
          <w:sz w:val="22"/>
          <w:szCs w:val="22"/>
          <w:lang w:val="en-US"/>
        </w:rPr>
        <w:t xml:space="preserve">(2), 161–174 </w:t>
      </w:r>
      <w:hyperlink r:id="rId25" w:history="1">
        <w:r w:rsidRPr="005028C6">
          <w:rPr>
            <w:rStyle w:val="-"/>
            <w:rFonts w:asciiTheme="minorHAnsi" w:hAnsiTheme="minorHAnsi" w:cstheme="minorHAnsi"/>
            <w:sz w:val="22"/>
            <w:szCs w:val="22"/>
            <w:lang w:val="en-US"/>
          </w:rPr>
          <w:t>https://sjdr.se/articles/10.1080/15017419.2016.1222303</w:t>
        </w:r>
      </w:hyperlink>
      <w:r w:rsidRPr="005028C6">
        <w:rPr>
          <w:rFonts w:asciiTheme="minorHAnsi" w:hAnsiTheme="minorHAnsi" w:cstheme="minorHAnsi"/>
          <w:sz w:val="22"/>
          <w:szCs w:val="22"/>
          <w:lang w:val="en-US"/>
        </w:rPr>
        <w:t xml:space="preserve">. </w:t>
      </w:r>
    </w:p>
    <w:p w14:paraId="1764C052" w14:textId="77777777" w:rsidR="00B41324" w:rsidRPr="005028C6" w:rsidRDefault="00B41324" w:rsidP="00B41324">
      <w:pPr>
        <w:pStyle w:val="jdiowc"/>
        <w:tabs>
          <w:tab w:val="left" w:pos="7230"/>
        </w:tabs>
        <w:spacing w:before="0" w:beforeAutospacing="0" w:after="0" w:afterAutospacing="0"/>
        <w:ind w:firstLine="567"/>
        <w:jc w:val="both"/>
        <w:rPr>
          <w:rStyle w:val="fontstyle01"/>
          <w:rFonts w:asciiTheme="minorHAnsi" w:hAnsiTheme="minorHAnsi" w:cstheme="minorHAnsi"/>
          <w:sz w:val="22"/>
          <w:szCs w:val="22"/>
          <w:lang w:val="en-US"/>
        </w:rPr>
      </w:pPr>
      <w:proofErr w:type="spellStart"/>
      <w:r w:rsidRPr="005028C6">
        <w:rPr>
          <w:rFonts w:asciiTheme="minorHAnsi" w:hAnsiTheme="minorHAnsi" w:cstheme="minorHAnsi"/>
          <w:sz w:val="22"/>
          <w:szCs w:val="22"/>
          <w:lang w:val="en-US"/>
        </w:rPr>
        <w:t>Giuntoli</w:t>
      </w:r>
      <w:proofErr w:type="spellEnd"/>
      <w:r w:rsidRPr="005028C6">
        <w:rPr>
          <w:rFonts w:asciiTheme="minorHAnsi" w:hAnsiTheme="minorHAnsi" w:cstheme="minorHAnsi"/>
          <w:sz w:val="22"/>
          <w:szCs w:val="22"/>
          <w:lang w:val="en-US"/>
        </w:rPr>
        <w:t xml:space="preserve">, G., Idle, J., Newman, Ch., Fisher, K.R., Edwards, Y., Robinson, S. (2024). </w:t>
      </w:r>
      <w:r w:rsidRPr="005028C6">
        <w:rPr>
          <w:rStyle w:val="fontstyle01"/>
          <w:rFonts w:asciiTheme="minorHAnsi" w:hAnsiTheme="minorHAnsi" w:cstheme="minorHAnsi"/>
          <w:sz w:val="22"/>
          <w:szCs w:val="22"/>
          <w:lang w:val="en-US"/>
        </w:rPr>
        <w:t>Towards a More Inclusive</w:t>
      </w:r>
      <w:r w:rsidRPr="005028C6">
        <w:rPr>
          <w:rFonts w:asciiTheme="minorHAnsi" w:hAnsiTheme="minorHAnsi" w:cstheme="minorHAnsi"/>
          <w:sz w:val="22"/>
          <w:szCs w:val="22"/>
          <w:lang w:val="en-US"/>
        </w:rPr>
        <w:t xml:space="preserve"> </w:t>
      </w:r>
      <w:r w:rsidRPr="005028C6">
        <w:rPr>
          <w:rStyle w:val="fontstyle01"/>
          <w:rFonts w:asciiTheme="minorHAnsi" w:hAnsiTheme="minorHAnsi" w:cstheme="minorHAnsi"/>
          <w:sz w:val="22"/>
          <w:szCs w:val="22"/>
          <w:lang w:val="en-US"/>
        </w:rPr>
        <w:t>Society: A Scoping Review of</w:t>
      </w:r>
      <w:r w:rsidRPr="005028C6">
        <w:rPr>
          <w:rFonts w:asciiTheme="minorHAnsi" w:hAnsiTheme="minorHAnsi" w:cstheme="minorHAnsi"/>
          <w:sz w:val="22"/>
          <w:szCs w:val="22"/>
          <w:lang w:val="en-US"/>
        </w:rPr>
        <w:t xml:space="preserve"> </w:t>
      </w:r>
      <w:r w:rsidRPr="005028C6">
        <w:rPr>
          <w:rStyle w:val="fontstyle01"/>
          <w:rFonts w:asciiTheme="minorHAnsi" w:hAnsiTheme="minorHAnsi" w:cstheme="minorHAnsi"/>
          <w:sz w:val="22"/>
          <w:szCs w:val="22"/>
          <w:lang w:val="en-US"/>
        </w:rPr>
        <w:t>Interventions and Policies for</w:t>
      </w:r>
      <w:r w:rsidRPr="005028C6">
        <w:rPr>
          <w:rFonts w:asciiTheme="minorHAnsi" w:hAnsiTheme="minorHAnsi" w:cstheme="minorHAnsi"/>
          <w:sz w:val="22"/>
          <w:szCs w:val="22"/>
          <w:lang w:val="en-US"/>
        </w:rPr>
        <w:t xml:space="preserve"> </w:t>
      </w:r>
      <w:r w:rsidRPr="005028C6">
        <w:rPr>
          <w:rStyle w:val="fontstyle01"/>
          <w:rFonts w:asciiTheme="minorHAnsi" w:hAnsiTheme="minorHAnsi" w:cstheme="minorHAnsi"/>
          <w:sz w:val="22"/>
          <w:szCs w:val="22"/>
          <w:lang w:val="en-US"/>
        </w:rPr>
        <w:t>Changing Attitudes Towards</w:t>
      </w:r>
      <w:r w:rsidRPr="005028C6">
        <w:rPr>
          <w:rFonts w:asciiTheme="minorHAnsi" w:hAnsiTheme="minorHAnsi" w:cstheme="minorHAnsi"/>
          <w:sz w:val="22"/>
          <w:szCs w:val="22"/>
          <w:lang w:val="en-US"/>
        </w:rPr>
        <w:t xml:space="preserve"> </w:t>
      </w:r>
      <w:r w:rsidRPr="005028C6">
        <w:rPr>
          <w:rStyle w:val="fontstyle01"/>
          <w:rFonts w:asciiTheme="minorHAnsi" w:hAnsiTheme="minorHAnsi" w:cstheme="minorHAnsi"/>
          <w:sz w:val="22"/>
          <w:szCs w:val="22"/>
          <w:lang w:val="en-US"/>
        </w:rPr>
        <w:t>People with Disability.</w:t>
      </w:r>
      <w:r w:rsidRPr="005028C6">
        <w:rPr>
          <w:rFonts w:asciiTheme="minorHAnsi" w:hAnsiTheme="minorHAnsi" w:cstheme="minorHAnsi"/>
          <w:sz w:val="22"/>
          <w:szCs w:val="22"/>
          <w:lang w:val="en-US"/>
        </w:rPr>
        <w:t xml:space="preserve"> </w:t>
      </w:r>
      <w:r w:rsidRPr="005028C6">
        <w:rPr>
          <w:rStyle w:val="fontstyle21"/>
          <w:rFonts w:asciiTheme="minorHAnsi" w:hAnsiTheme="minorHAnsi" w:cstheme="minorHAnsi"/>
          <w:sz w:val="22"/>
          <w:szCs w:val="22"/>
          <w:lang w:val="en-US"/>
        </w:rPr>
        <w:t>Scandinavian Journal of</w:t>
      </w:r>
      <w:r w:rsidRPr="005028C6">
        <w:rPr>
          <w:rFonts w:asciiTheme="minorHAnsi" w:hAnsiTheme="minorHAnsi" w:cstheme="minorHAnsi"/>
          <w:i/>
          <w:iCs/>
          <w:sz w:val="22"/>
          <w:szCs w:val="22"/>
          <w:lang w:val="en-US"/>
        </w:rPr>
        <w:br/>
      </w:r>
      <w:r w:rsidRPr="005028C6">
        <w:rPr>
          <w:rStyle w:val="fontstyle21"/>
          <w:rFonts w:asciiTheme="minorHAnsi" w:hAnsiTheme="minorHAnsi" w:cstheme="minorHAnsi"/>
          <w:sz w:val="22"/>
          <w:szCs w:val="22"/>
          <w:lang w:val="en-US"/>
        </w:rPr>
        <w:t xml:space="preserve">Disability Research, </w:t>
      </w:r>
      <w:r w:rsidRPr="005028C6">
        <w:rPr>
          <w:rStyle w:val="fontstyle01"/>
          <w:rFonts w:asciiTheme="minorHAnsi" w:hAnsiTheme="minorHAnsi" w:cstheme="minorHAnsi"/>
          <w:i/>
          <w:sz w:val="22"/>
          <w:szCs w:val="22"/>
          <w:lang w:val="en-US"/>
        </w:rPr>
        <w:t>26</w:t>
      </w:r>
      <w:r w:rsidRPr="005028C6">
        <w:rPr>
          <w:rStyle w:val="fontstyle01"/>
          <w:rFonts w:asciiTheme="minorHAnsi" w:hAnsiTheme="minorHAnsi" w:cstheme="minorHAnsi"/>
          <w:sz w:val="22"/>
          <w:szCs w:val="22"/>
          <w:lang w:val="en-US"/>
        </w:rPr>
        <w:t xml:space="preserve">(1):315–334. </w:t>
      </w:r>
      <w:hyperlink r:id="rId26" w:history="1">
        <w:r w:rsidRPr="005028C6">
          <w:rPr>
            <w:rStyle w:val="-"/>
            <w:rFonts w:asciiTheme="minorHAnsi" w:hAnsiTheme="minorHAnsi" w:cstheme="minorHAnsi"/>
            <w:sz w:val="22"/>
            <w:szCs w:val="22"/>
            <w:lang w:val="en-US"/>
          </w:rPr>
          <w:t>https://doi.org/10.16993/sjdr.1084</w:t>
        </w:r>
      </w:hyperlink>
      <w:r w:rsidRPr="005028C6">
        <w:rPr>
          <w:rStyle w:val="-"/>
          <w:rFonts w:asciiTheme="minorHAnsi" w:hAnsiTheme="minorHAnsi" w:cstheme="minorHAnsi"/>
          <w:sz w:val="22"/>
          <w:szCs w:val="22"/>
          <w:lang w:val="en-US"/>
        </w:rPr>
        <w:t xml:space="preserve">. </w:t>
      </w:r>
    </w:p>
    <w:p w14:paraId="0F32BDF1" w14:textId="77777777" w:rsidR="00B41324" w:rsidRPr="005028C6" w:rsidRDefault="00B41324" w:rsidP="00B41324">
      <w:pPr>
        <w:tabs>
          <w:tab w:val="left" w:pos="7230"/>
        </w:tabs>
        <w:ind w:firstLine="567"/>
        <w:jc w:val="both"/>
        <w:rPr>
          <w:rFonts w:asciiTheme="minorHAnsi" w:hAnsiTheme="minorHAnsi" w:cstheme="minorHAnsi"/>
          <w:sz w:val="22"/>
          <w:szCs w:val="22"/>
          <w:lang w:val="en-US"/>
        </w:rPr>
      </w:pPr>
      <w:r w:rsidRPr="005028C6">
        <w:rPr>
          <w:rFonts w:asciiTheme="minorHAnsi" w:hAnsiTheme="minorHAnsi" w:cstheme="minorHAnsi"/>
          <w:sz w:val="22"/>
          <w:szCs w:val="22"/>
          <w:lang w:val="en-US"/>
        </w:rPr>
        <w:t xml:space="preserve">Hair, J., Anderson, R., Tatham, R. &amp; Black, W. (1995). </w:t>
      </w:r>
      <w:r w:rsidRPr="005028C6">
        <w:rPr>
          <w:rFonts w:asciiTheme="minorHAnsi" w:hAnsiTheme="minorHAnsi" w:cstheme="minorHAnsi"/>
          <w:i/>
          <w:sz w:val="22"/>
          <w:szCs w:val="22"/>
          <w:lang w:val="en-US"/>
        </w:rPr>
        <w:t>Multivariate Data Analysis with Readings</w:t>
      </w:r>
      <w:r w:rsidRPr="005028C6">
        <w:rPr>
          <w:rFonts w:asciiTheme="minorHAnsi" w:hAnsiTheme="minorHAnsi" w:cstheme="minorHAnsi"/>
          <w:sz w:val="22"/>
          <w:szCs w:val="22"/>
          <w:lang w:val="en-US"/>
        </w:rPr>
        <w:t>, (4</w:t>
      </w:r>
      <w:r w:rsidRPr="005028C6">
        <w:rPr>
          <w:rFonts w:asciiTheme="minorHAnsi" w:hAnsiTheme="minorHAnsi" w:cstheme="minorHAnsi"/>
          <w:sz w:val="22"/>
          <w:szCs w:val="22"/>
          <w:vertAlign w:val="superscript"/>
          <w:lang w:val="en-US"/>
        </w:rPr>
        <w:t>th</w:t>
      </w:r>
      <w:r w:rsidRPr="005028C6">
        <w:rPr>
          <w:rFonts w:asciiTheme="minorHAnsi" w:hAnsiTheme="minorHAnsi" w:cstheme="minorHAnsi"/>
          <w:sz w:val="22"/>
          <w:szCs w:val="22"/>
          <w:lang w:val="en-US"/>
        </w:rPr>
        <w:t xml:space="preserve"> ed.), Prentice Hall International, Englewood Chiﬀs, NJ.</w:t>
      </w:r>
    </w:p>
    <w:p w14:paraId="28AD8A36" w14:textId="77777777" w:rsidR="00B41324" w:rsidRPr="005028C6" w:rsidRDefault="00B41324" w:rsidP="00B41324">
      <w:pPr>
        <w:tabs>
          <w:tab w:val="left" w:pos="7230"/>
        </w:tabs>
        <w:ind w:firstLine="567"/>
        <w:jc w:val="both"/>
        <w:rPr>
          <w:rFonts w:asciiTheme="minorHAnsi" w:hAnsiTheme="minorHAnsi" w:cstheme="minorHAnsi"/>
          <w:sz w:val="22"/>
          <w:szCs w:val="22"/>
          <w:lang w:val="en-US"/>
        </w:rPr>
      </w:pPr>
      <w:r w:rsidRPr="005028C6">
        <w:rPr>
          <w:rFonts w:asciiTheme="minorHAnsi" w:hAnsiTheme="minorHAnsi" w:cstheme="minorHAnsi"/>
          <w:sz w:val="22"/>
          <w:szCs w:val="22"/>
          <w:lang w:val="en-US"/>
        </w:rPr>
        <w:t xml:space="preserve">Hair, J.F., Black, W.C., </w:t>
      </w:r>
      <w:proofErr w:type="spellStart"/>
      <w:r w:rsidRPr="005028C6">
        <w:rPr>
          <w:rFonts w:asciiTheme="minorHAnsi" w:hAnsiTheme="minorHAnsi" w:cstheme="minorHAnsi"/>
          <w:sz w:val="22"/>
          <w:szCs w:val="22"/>
          <w:lang w:val="en-US"/>
        </w:rPr>
        <w:t>Babin</w:t>
      </w:r>
      <w:proofErr w:type="spellEnd"/>
      <w:r w:rsidRPr="005028C6">
        <w:rPr>
          <w:rFonts w:asciiTheme="minorHAnsi" w:hAnsiTheme="minorHAnsi" w:cstheme="minorHAnsi"/>
          <w:sz w:val="22"/>
          <w:szCs w:val="22"/>
          <w:lang w:val="en-US"/>
        </w:rPr>
        <w:t xml:space="preserve">, B.J. &amp; Anderson, R.E. (2010). </w:t>
      </w:r>
      <w:r w:rsidRPr="005028C6">
        <w:rPr>
          <w:rFonts w:asciiTheme="minorHAnsi" w:hAnsiTheme="minorHAnsi" w:cstheme="minorHAnsi"/>
          <w:i/>
          <w:sz w:val="22"/>
          <w:szCs w:val="22"/>
          <w:lang w:val="en-US"/>
        </w:rPr>
        <w:t>Multivariate Data Analysis</w:t>
      </w:r>
      <w:r w:rsidRPr="005028C6">
        <w:rPr>
          <w:rFonts w:asciiTheme="minorHAnsi" w:hAnsiTheme="minorHAnsi" w:cstheme="minorHAnsi"/>
          <w:sz w:val="22"/>
          <w:szCs w:val="22"/>
          <w:lang w:val="en-US"/>
        </w:rPr>
        <w:t xml:space="preserve"> </w:t>
      </w:r>
      <w:r w:rsidRPr="005028C6">
        <w:rPr>
          <w:rFonts w:asciiTheme="minorHAnsi" w:hAnsiTheme="minorHAnsi" w:cstheme="minorHAnsi"/>
          <w:i/>
          <w:sz w:val="22"/>
          <w:szCs w:val="22"/>
          <w:lang w:val="en-US"/>
        </w:rPr>
        <w:t>(7</w:t>
      </w:r>
      <w:r w:rsidRPr="005028C6">
        <w:rPr>
          <w:rFonts w:asciiTheme="minorHAnsi" w:hAnsiTheme="minorHAnsi" w:cstheme="minorHAnsi"/>
          <w:i/>
          <w:sz w:val="22"/>
          <w:szCs w:val="22"/>
          <w:vertAlign w:val="superscript"/>
          <w:lang w:val="en-US"/>
        </w:rPr>
        <w:t>th</w:t>
      </w:r>
      <w:r w:rsidRPr="005028C6">
        <w:rPr>
          <w:rFonts w:asciiTheme="minorHAnsi" w:hAnsiTheme="minorHAnsi" w:cstheme="minorHAnsi"/>
          <w:sz w:val="22"/>
          <w:szCs w:val="22"/>
          <w:lang w:val="en-US"/>
        </w:rPr>
        <w:t xml:space="preserve"> </w:t>
      </w:r>
      <w:r w:rsidRPr="005028C6">
        <w:rPr>
          <w:rFonts w:asciiTheme="minorHAnsi" w:hAnsiTheme="minorHAnsi" w:cstheme="minorHAnsi"/>
          <w:i/>
          <w:sz w:val="22"/>
          <w:szCs w:val="22"/>
          <w:lang w:val="en-US"/>
        </w:rPr>
        <w:t>edition)</w:t>
      </w:r>
      <w:r w:rsidRPr="005028C6">
        <w:rPr>
          <w:rFonts w:asciiTheme="minorHAnsi" w:hAnsiTheme="minorHAnsi" w:cstheme="minorHAnsi"/>
          <w:sz w:val="22"/>
          <w:szCs w:val="22"/>
          <w:lang w:val="en-US"/>
        </w:rPr>
        <w:t>, Prentice-Hall.</w:t>
      </w:r>
    </w:p>
    <w:p w14:paraId="249C1448" w14:textId="77777777" w:rsidR="00B41324" w:rsidRPr="005028C6" w:rsidRDefault="00B41324" w:rsidP="00B41324">
      <w:pPr>
        <w:ind w:firstLine="720"/>
        <w:jc w:val="both"/>
        <w:rPr>
          <w:rFonts w:asciiTheme="minorHAnsi" w:hAnsiTheme="minorHAnsi" w:cstheme="minorHAnsi"/>
          <w:sz w:val="22"/>
          <w:szCs w:val="22"/>
          <w:lang w:val="en-US"/>
        </w:rPr>
      </w:pPr>
      <w:proofErr w:type="spellStart"/>
      <w:r w:rsidRPr="005028C6">
        <w:rPr>
          <w:rFonts w:asciiTheme="minorHAnsi" w:hAnsiTheme="minorHAnsi" w:cstheme="minorHAnsi"/>
          <w:sz w:val="22"/>
          <w:szCs w:val="22"/>
          <w:lang w:val="en-US"/>
        </w:rPr>
        <w:t>Hostyn</w:t>
      </w:r>
      <w:proofErr w:type="spellEnd"/>
      <w:r w:rsidRPr="005028C6">
        <w:rPr>
          <w:rFonts w:asciiTheme="minorHAnsi" w:hAnsiTheme="minorHAnsi" w:cstheme="minorHAnsi"/>
          <w:sz w:val="22"/>
          <w:szCs w:val="22"/>
          <w:lang w:val="en-US"/>
        </w:rPr>
        <w:t xml:space="preserve">, I., Petry, K., </w:t>
      </w:r>
      <w:proofErr w:type="spellStart"/>
      <w:r w:rsidRPr="005028C6">
        <w:rPr>
          <w:rFonts w:asciiTheme="minorHAnsi" w:hAnsiTheme="minorHAnsi" w:cstheme="minorHAnsi"/>
          <w:sz w:val="22"/>
          <w:szCs w:val="22"/>
          <w:lang w:val="en-US"/>
        </w:rPr>
        <w:t>Lambrechts</w:t>
      </w:r>
      <w:proofErr w:type="spellEnd"/>
      <w:r w:rsidRPr="005028C6">
        <w:rPr>
          <w:rFonts w:asciiTheme="minorHAnsi" w:hAnsiTheme="minorHAnsi" w:cstheme="minorHAnsi"/>
          <w:sz w:val="22"/>
          <w:szCs w:val="22"/>
          <w:lang w:val="en-US"/>
        </w:rPr>
        <w:t xml:space="preserve">, G., &amp; </w:t>
      </w:r>
      <w:proofErr w:type="spellStart"/>
      <w:r w:rsidRPr="005028C6">
        <w:rPr>
          <w:rFonts w:asciiTheme="minorHAnsi" w:hAnsiTheme="minorHAnsi" w:cstheme="minorHAnsi"/>
          <w:sz w:val="22"/>
          <w:szCs w:val="22"/>
          <w:lang w:val="en-US"/>
        </w:rPr>
        <w:t>Maes</w:t>
      </w:r>
      <w:proofErr w:type="spellEnd"/>
      <w:r w:rsidRPr="005028C6">
        <w:rPr>
          <w:rFonts w:asciiTheme="minorHAnsi" w:hAnsiTheme="minorHAnsi" w:cstheme="minorHAnsi"/>
          <w:sz w:val="22"/>
          <w:szCs w:val="22"/>
          <w:lang w:val="en-US"/>
        </w:rPr>
        <w:t xml:space="preserve">, B. (2011). Evaluating the quality of the interaction between persons with profound intellectual and multiple disabilities and direct support staff: A preliminary application of three observation scales from parent–infant research. </w:t>
      </w:r>
      <w:r w:rsidRPr="005028C6">
        <w:rPr>
          <w:rStyle w:val="citationsource-journal"/>
          <w:rFonts w:asciiTheme="minorHAnsi" w:hAnsiTheme="minorHAnsi" w:cstheme="minorHAnsi"/>
          <w:i/>
          <w:iCs/>
          <w:sz w:val="22"/>
          <w:szCs w:val="22"/>
          <w:lang w:val="en-US"/>
        </w:rPr>
        <w:t>Journal of Applied Research in Intellectual Disabilities</w:t>
      </w:r>
      <w:r w:rsidRPr="005028C6">
        <w:rPr>
          <w:rFonts w:asciiTheme="minorHAnsi" w:hAnsiTheme="minorHAnsi" w:cstheme="minorHAnsi"/>
          <w:sz w:val="22"/>
          <w:szCs w:val="22"/>
          <w:lang w:val="en-US"/>
        </w:rPr>
        <w:t xml:space="preserve">, </w:t>
      </w:r>
      <w:r w:rsidRPr="005028C6">
        <w:rPr>
          <w:rFonts w:asciiTheme="minorHAnsi" w:hAnsiTheme="minorHAnsi" w:cstheme="minorHAnsi"/>
          <w:i/>
          <w:iCs/>
          <w:sz w:val="22"/>
          <w:szCs w:val="22"/>
          <w:lang w:val="en-US"/>
        </w:rPr>
        <w:t>24</w:t>
      </w:r>
      <w:r w:rsidRPr="005028C6">
        <w:rPr>
          <w:rFonts w:asciiTheme="minorHAnsi" w:hAnsiTheme="minorHAnsi" w:cstheme="minorHAnsi"/>
          <w:sz w:val="22"/>
          <w:szCs w:val="22"/>
          <w:lang w:val="en-US"/>
        </w:rPr>
        <w:t xml:space="preserve">(5), 407–420.  </w:t>
      </w:r>
      <w:hyperlink r:id="rId27" w:history="1">
        <w:r w:rsidRPr="005028C6">
          <w:rPr>
            <w:rStyle w:val="-"/>
            <w:rFonts w:asciiTheme="minorHAnsi" w:hAnsiTheme="minorHAnsi" w:cstheme="minorHAnsi"/>
            <w:sz w:val="22"/>
            <w:szCs w:val="22"/>
            <w:lang w:val="en-US"/>
          </w:rPr>
          <w:t>https://doi.org/10.1111/j.1468-3148.2010.00618.x</w:t>
        </w:r>
      </w:hyperlink>
      <w:r w:rsidRPr="005028C6">
        <w:rPr>
          <w:rFonts w:asciiTheme="minorHAnsi" w:hAnsiTheme="minorHAnsi" w:cstheme="minorHAnsi"/>
          <w:sz w:val="22"/>
          <w:szCs w:val="22"/>
          <w:lang w:val="en-US"/>
        </w:rPr>
        <w:t xml:space="preserve">. </w:t>
      </w:r>
    </w:p>
    <w:p w14:paraId="12C2DFC2" w14:textId="77777777" w:rsidR="00B41324" w:rsidRPr="005028C6" w:rsidRDefault="00B41324" w:rsidP="00B41324">
      <w:pPr>
        <w:ind w:firstLine="720"/>
        <w:jc w:val="both"/>
        <w:rPr>
          <w:rFonts w:asciiTheme="minorHAnsi" w:hAnsiTheme="minorHAnsi" w:cstheme="minorHAnsi"/>
          <w:sz w:val="22"/>
          <w:szCs w:val="22"/>
          <w:lang w:val="en-US"/>
        </w:rPr>
      </w:pPr>
      <w:r w:rsidRPr="005028C6">
        <w:rPr>
          <w:rFonts w:asciiTheme="minorHAnsi" w:hAnsiTheme="minorHAnsi" w:cstheme="minorHAnsi"/>
          <w:sz w:val="22"/>
          <w:szCs w:val="22"/>
          <w:lang w:val="en-US"/>
        </w:rPr>
        <w:t xml:space="preserve">Johnson, H., Douglas, J., </w:t>
      </w:r>
      <w:proofErr w:type="spellStart"/>
      <w:r w:rsidRPr="005028C6">
        <w:rPr>
          <w:rFonts w:asciiTheme="minorHAnsi" w:hAnsiTheme="minorHAnsi" w:cstheme="minorHAnsi"/>
          <w:sz w:val="22"/>
          <w:szCs w:val="22"/>
          <w:lang w:val="en-US"/>
        </w:rPr>
        <w:t>Bigby</w:t>
      </w:r>
      <w:proofErr w:type="spellEnd"/>
      <w:r w:rsidRPr="005028C6">
        <w:rPr>
          <w:rFonts w:asciiTheme="minorHAnsi" w:hAnsiTheme="minorHAnsi" w:cstheme="minorHAnsi"/>
          <w:sz w:val="22"/>
          <w:szCs w:val="22"/>
          <w:lang w:val="en-US"/>
        </w:rPr>
        <w:t xml:space="preserve">, C., &amp; </w:t>
      </w:r>
      <w:proofErr w:type="spellStart"/>
      <w:r w:rsidRPr="005028C6">
        <w:rPr>
          <w:rFonts w:asciiTheme="minorHAnsi" w:hAnsiTheme="minorHAnsi" w:cstheme="minorHAnsi"/>
          <w:sz w:val="22"/>
          <w:szCs w:val="22"/>
          <w:lang w:val="en-US"/>
        </w:rPr>
        <w:t>Iacono</w:t>
      </w:r>
      <w:proofErr w:type="spellEnd"/>
      <w:r w:rsidRPr="005028C6">
        <w:rPr>
          <w:rFonts w:asciiTheme="minorHAnsi" w:hAnsiTheme="minorHAnsi" w:cstheme="minorHAnsi"/>
          <w:sz w:val="22"/>
          <w:szCs w:val="22"/>
          <w:lang w:val="en-US"/>
        </w:rPr>
        <w:t xml:space="preserve">, T. (2010). The pearl in the middle: a case study of social interactions in an individual with a severe intellectual disability. </w:t>
      </w:r>
      <w:r w:rsidRPr="005028C6">
        <w:rPr>
          <w:rFonts w:asciiTheme="minorHAnsi" w:hAnsiTheme="minorHAnsi" w:cstheme="minorHAnsi"/>
          <w:i/>
          <w:sz w:val="22"/>
          <w:szCs w:val="22"/>
          <w:lang w:val="en-US"/>
        </w:rPr>
        <w:t>Journal of intellectual &amp; developmental disability,</w:t>
      </w:r>
      <w:r w:rsidRPr="007F303C">
        <w:rPr>
          <w:rFonts w:asciiTheme="minorHAnsi" w:hAnsiTheme="minorHAnsi" w:cstheme="minorHAnsi"/>
          <w:sz w:val="22"/>
          <w:szCs w:val="22"/>
          <w:lang w:val="en-US"/>
        </w:rPr>
        <w:t xml:space="preserve"> </w:t>
      </w:r>
      <w:r w:rsidRPr="005028C6">
        <w:rPr>
          <w:rFonts w:asciiTheme="minorHAnsi" w:hAnsiTheme="minorHAnsi" w:cstheme="minorHAnsi"/>
          <w:sz w:val="22"/>
          <w:szCs w:val="22"/>
          <w:lang w:val="en-US"/>
        </w:rPr>
        <w:t>35(3),</w:t>
      </w:r>
      <w:r w:rsidRPr="007F303C">
        <w:rPr>
          <w:rFonts w:asciiTheme="minorHAnsi" w:hAnsiTheme="minorHAnsi" w:cstheme="minorHAnsi"/>
          <w:sz w:val="22"/>
          <w:szCs w:val="22"/>
          <w:lang w:val="en-US"/>
        </w:rPr>
        <w:t xml:space="preserve"> </w:t>
      </w:r>
      <w:r w:rsidRPr="005028C6">
        <w:rPr>
          <w:rFonts w:asciiTheme="minorHAnsi" w:hAnsiTheme="minorHAnsi" w:cstheme="minorHAnsi"/>
          <w:sz w:val="22"/>
          <w:szCs w:val="22"/>
          <w:lang w:val="en-US"/>
        </w:rPr>
        <w:t xml:space="preserve">175–186. </w:t>
      </w:r>
      <w:hyperlink r:id="rId28" w:history="1">
        <w:r w:rsidRPr="005028C6">
          <w:rPr>
            <w:rStyle w:val="-"/>
            <w:rFonts w:asciiTheme="minorHAnsi" w:hAnsiTheme="minorHAnsi" w:cstheme="minorHAnsi"/>
            <w:sz w:val="22"/>
            <w:szCs w:val="22"/>
            <w:lang w:val="en-US"/>
          </w:rPr>
          <w:t>https://doi.org/10.3109/13668250.2010.501026</w:t>
        </w:r>
      </w:hyperlink>
    </w:p>
    <w:p w14:paraId="590EC188" w14:textId="77777777" w:rsidR="00B41324" w:rsidRPr="005028C6" w:rsidRDefault="00B41324" w:rsidP="00B41324">
      <w:pPr>
        <w:ind w:firstLine="720"/>
        <w:jc w:val="both"/>
        <w:rPr>
          <w:rFonts w:asciiTheme="minorHAnsi" w:hAnsiTheme="minorHAnsi" w:cstheme="minorHAnsi"/>
          <w:sz w:val="22"/>
          <w:szCs w:val="22"/>
          <w:lang w:val="en-US"/>
        </w:rPr>
      </w:pPr>
      <w:proofErr w:type="spellStart"/>
      <w:r w:rsidRPr="005028C6">
        <w:rPr>
          <w:rFonts w:asciiTheme="minorHAnsi" w:hAnsiTheme="minorHAnsi" w:cstheme="minorHAnsi"/>
          <w:sz w:val="22"/>
          <w:szCs w:val="22"/>
          <w:lang w:val="en-US"/>
        </w:rPr>
        <w:t>Kayess</w:t>
      </w:r>
      <w:proofErr w:type="spellEnd"/>
      <w:r w:rsidRPr="005028C6">
        <w:rPr>
          <w:rFonts w:asciiTheme="minorHAnsi" w:hAnsiTheme="minorHAnsi" w:cstheme="minorHAnsi"/>
          <w:sz w:val="22"/>
          <w:szCs w:val="22"/>
          <w:lang w:val="en-US"/>
        </w:rPr>
        <w:t>, R</w:t>
      </w:r>
      <w:r w:rsidRPr="007F303C">
        <w:rPr>
          <w:rFonts w:asciiTheme="minorHAnsi" w:hAnsiTheme="minorHAnsi" w:cstheme="minorHAnsi"/>
          <w:sz w:val="22"/>
          <w:szCs w:val="22"/>
          <w:lang w:val="en-US"/>
        </w:rPr>
        <w:t>.</w:t>
      </w:r>
      <w:r w:rsidRPr="005028C6">
        <w:rPr>
          <w:rFonts w:asciiTheme="minorHAnsi" w:hAnsiTheme="minorHAnsi" w:cstheme="minorHAnsi"/>
          <w:sz w:val="22"/>
          <w:szCs w:val="22"/>
          <w:lang w:val="en-US"/>
        </w:rPr>
        <w:t xml:space="preserve"> &amp; French, Ph. (2008). Out of Darkness into Light? Introducing the Convention on the Rights of Persons with Disabilities. </w:t>
      </w:r>
      <w:r w:rsidRPr="005028C6">
        <w:rPr>
          <w:rFonts w:asciiTheme="minorHAnsi" w:hAnsiTheme="minorHAnsi" w:cstheme="minorHAnsi"/>
          <w:i/>
          <w:sz w:val="22"/>
          <w:szCs w:val="22"/>
          <w:lang w:val="en-US"/>
        </w:rPr>
        <w:t>Human Rights Law Review</w:t>
      </w:r>
      <w:r w:rsidRPr="007F303C">
        <w:rPr>
          <w:rFonts w:asciiTheme="minorHAnsi" w:hAnsiTheme="minorHAnsi" w:cstheme="minorHAnsi"/>
          <w:sz w:val="22"/>
          <w:szCs w:val="22"/>
          <w:lang w:val="en-US"/>
        </w:rPr>
        <w:t xml:space="preserve">, </w:t>
      </w:r>
      <w:r w:rsidRPr="005028C6">
        <w:rPr>
          <w:rFonts w:asciiTheme="minorHAnsi" w:hAnsiTheme="minorHAnsi" w:cstheme="minorHAnsi"/>
          <w:sz w:val="22"/>
          <w:szCs w:val="22"/>
          <w:lang w:val="en-US"/>
        </w:rPr>
        <w:t>8</w:t>
      </w:r>
      <w:r w:rsidRPr="007F303C">
        <w:rPr>
          <w:rFonts w:asciiTheme="minorHAnsi" w:hAnsiTheme="minorHAnsi" w:cstheme="minorHAnsi"/>
          <w:sz w:val="22"/>
          <w:szCs w:val="22"/>
          <w:lang w:val="en-US"/>
        </w:rPr>
        <w:t>,</w:t>
      </w:r>
      <w:r w:rsidRPr="005028C6">
        <w:rPr>
          <w:rFonts w:asciiTheme="minorHAnsi" w:hAnsiTheme="minorHAnsi" w:cstheme="minorHAnsi"/>
          <w:sz w:val="22"/>
          <w:szCs w:val="22"/>
          <w:lang w:val="en-US"/>
        </w:rPr>
        <w:t xml:space="preserve"> 1-34. 10.1093/</w:t>
      </w:r>
      <w:proofErr w:type="spellStart"/>
      <w:r w:rsidRPr="005028C6">
        <w:rPr>
          <w:rFonts w:asciiTheme="minorHAnsi" w:hAnsiTheme="minorHAnsi" w:cstheme="minorHAnsi"/>
          <w:sz w:val="22"/>
          <w:szCs w:val="22"/>
          <w:lang w:val="en-US"/>
        </w:rPr>
        <w:t>hrlr</w:t>
      </w:r>
      <w:proofErr w:type="spellEnd"/>
      <w:r w:rsidRPr="005028C6">
        <w:rPr>
          <w:rFonts w:asciiTheme="minorHAnsi" w:hAnsiTheme="minorHAnsi" w:cstheme="minorHAnsi"/>
          <w:sz w:val="22"/>
          <w:szCs w:val="22"/>
          <w:lang w:val="en-US"/>
        </w:rPr>
        <w:t>/ngm044.</w:t>
      </w:r>
    </w:p>
    <w:p w14:paraId="2623771E" w14:textId="77777777" w:rsidR="00B41324" w:rsidRPr="005028C6" w:rsidRDefault="00B41324" w:rsidP="00B41324">
      <w:pPr>
        <w:tabs>
          <w:tab w:val="left" w:pos="7230"/>
        </w:tabs>
        <w:ind w:firstLine="567"/>
        <w:jc w:val="both"/>
        <w:rPr>
          <w:rFonts w:asciiTheme="minorHAnsi" w:hAnsiTheme="minorHAnsi" w:cstheme="minorHAnsi"/>
          <w:sz w:val="22"/>
          <w:szCs w:val="22"/>
          <w:lang w:val="en-US"/>
        </w:rPr>
      </w:pPr>
      <w:r w:rsidRPr="005028C6">
        <w:rPr>
          <w:rFonts w:asciiTheme="minorHAnsi" w:hAnsiTheme="minorHAnsi" w:cstheme="minorHAnsi"/>
          <w:sz w:val="22"/>
          <w:szCs w:val="22"/>
          <w:lang w:val="en-US"/>
        </w:rPr>
        <w:t xml:space="preserve">Kline, R.B. (2005). </w:t>
      </w:r>
      <w:r w:rsidRPr="005028C6">
        <w:rPr>
          <w:rFonts w:asciiTheme="minorHAnsi" w:hAnsiTheme="minorHAnsi" w:cstheme="minorHAnsi"/>
          <w:i/>
          <w:sz w:val="22"/>
          <w:szCs w:val="22"/>
          <w:lang w:val="en-US"/>
        </w:rPr>
        <w:t>Principles and practice of structural equation modeling</w:t>
      </w:r>
      <w:r w:rsidRPr="005028C6">
        <w:rPr>
          <w:rFonts w:asciiTheme="minorHAnsi" w:hAnsiTheme="minorHAnsi" w:cstheme="minorHAnsi"/>
          <w:sz w:val="22"/>
          <w:szCs w:val="22"/>
          <w:lang w:val="en-US"/>
        </w:rPr>
        <w:t xml:space="preserve"> (2nd ed.), New York: Guilford Press.</w:t>
      </w:r>
    </w:p>
    <w:p w14:paraId="399D8547" w14:textId="77777777" w:rsidR="00B41324" w:rsidRPr="005028C6" w:rsidRDefault="00B41324" w:rsidP="00B41324">
      <w:pPr>
        <w:tabs>
          <w:tab w:val="left" w:pos="7230"/>
        </w:tabs>
        <w:ind w:firstLine="567"/>
        <w:jc w:val="both"/>
        <w:rPr>
          <w:rFonts w:asciiTheme="minorHAnsi" w:hAnsiTheme="minorHAnsi" w:cstheme="minorHAnsi"/>
          <w:sz w:val="22"/>
          <w:szCs w:val="22"/>
          <w:lang w:val="en-US"/>
        </w:rPr>
      </w:pPr>
      <w:proofErr w:type="spellStart"/>
      <w:r w:rsidRPr="005028C6">
        <w:rPr>
          <w:rFonts w:asciiTheme="minorHAnsi" w:hAnsiTheme="minorHAnsi" w:cstheme="minorHAnsi"/>
          <w:sz w:val="22"/>
          <w:szCs w:val="22"/>
          <w:lang w:val="de-DE"/>
        </w:rPr>
        <w:t>Koufteros</w:t>
      </w:r>
      <w:proofErr w:type="spellEnd"/>
      <w:r w:rsidRPr="005028C6">
        <w:rPr>
          <w:rFonts w:asciiTheme="minorHAnsi" w:hAnsiTheme="minorHAnsi" w:cstheme="minorHAnsi"/>
          <w:sz w:val="22"/>
          <w:szCs w:val="22"/>
          <w:lang w:val="de-DE"/>
        </w:rPr>
        <w:t xml:space="preserve">, X., </w:t>
      </w:r>
      <w:proofErr w:type="spellStart"/>
      <w:r w:rsidRPr="005028C6">
        <w:rPr>
          <w:rFonts w:asciiTheme="minorHAnsi" w:hAnsiTheme="minorHAnsi" w:cstheme="minorHAnsi"/>
          <w:sz w:val="22"/>
          <w:szCs w:val="22"/>
          <w:lang w:val="de-DE"/>
        </w:rPr>
        <w:t>Vonderembse</w:t>
      </w:r>
      <w:proofErr w:type="spellEnd"/>
      <w:r w:rsidRPr="005028C6">
        <w:rPr>
          <w:rFonts w:asciiTheme="minorHAnsi" w:hAnsiTheme="minorHAnsi" w:cstheme="minorHAnsi"/>
          <w:sz w:val="22"/>
          <w:szCs w:val="22"/>
          <w:lang w:val="de-DE"/>
        </w:rPr>
        <w:t xml:space="preserve">, M. &amp; Doll, W. (2001). </w:t>
      </w:r>
      <w:r w:rsidRPr="005028C6">
        <w:rPr>
          <w:rFonts w:asciiTheme="minorHAnsi" w:hAnsiTheme="minorHAnsi" w:cstheme="minorHAnsi"/>
          <w:sz w:val="22"/>
          <w:szCs w:val="22"/>
          <w:lang w:val="en-US"/>
        </w:rPr>
        <w:t xml:space="preserve">Concurrent engineering and its consequences, </w:t>
      </w:r>
      <w:r w:rsidRPr="005028C6">
        <w:rPr>
          <w:rFonts w:asciiTheme="minorHAnsi" w:hAnsiTheme="minorHAnsi" w:cstheme="minorHAnsi"/>
          <w:i/>
          <w:sz w:val="22"/>
          <w:szCs w:val="22"/>
          <w:lang w:val="en-US"/>
        </w:rPr>
        <w:t>Journal of Operations Management, 19</w:t>
      </w:r>
      <w:r w:rsidRPr="005028C6">
        <w:rPr>
          <w:rFonts w:asciiTheme="minorHAnsi" w:hAnsiTheme="minorHAnsi" w:cstheme="minorHAnsi"/>
          <w:sz w:val="22"/>
          <w:szCs w:val="22"/>
          <w:lang w:val="en-US"/>
        </w:rPr>
        <w:t xml:space="preserve">(1), 97-115. </w:t>
      </w:r>
      <w:hyperlink r:id="rId29" w:history="1">
        <w:r w:rsidRPr="005028C6">
          <w:rPr>
            <w:rStyle w:val="-"/>
            <w:rFonts w:asciiTheme="minorHAnsi" w:hAnsiTheme="minorHAnsi" w:cstheme="minorHAnsi"/>
            <w:sz w:val="22"/>
            <w:szCs w:val="22"/>
            <w:lang w:val="en-US"/>
          </w:rPr>
          <w:t>https://doi.org/10.1016/S0272-6963(00)00048-6</w:t>
        </w:r>
      </w:hyperlink>
      <w:r w:rsidRPr="005028C6">
        <w:rPr>
          <w:rFonts w:asciiTheme="minorHAnsi" w:hAnsiTheme="minorHAnsi" w:cstheme="minorHAnsi"/>
          <w:sz w:val="22"/>
          <w:szCs w:val="22"/>
          <w:lang w:val="en-US"/>
        </w:rPr>
        <w:t xml:space="preserve">. </w:t>
      </w:r>
    </w:p>
    <w:p w14:paraId="6B0EC44A" w14:textId="77777777" w:rsidR="00B41324" w:rsidRPr="005028C6" w:rsidRDefault="00B41324" w:rsidP="00B41324">
      <w:pPr>
        <w:tabs>
          <w:tab w:val="left" w:pos="7230"/>
        </w:tabs>
        <w:ind w:firstLine="567"/>
        <w:jc w:val="both"/>
        <w:rPr>
          <w:rFonts w:asciiTheme="minorHAnsi" w:hAnsiTheme="minorHAnsi" w:cstheme="minorHAnsi"/>
          <w:sz w:val="22"/>
          <w:szCs w:val="22"/>
          <w:lang w:val="en-US"/>
        </w:rPr>
      </w:pPr>
      <w:proofErr w:type="spellStart"/>
      <w:r w:rsidRPr="005028C6">
        <w:rPr>
          <w:rFonts w:asciiTheme="minorHAnsi" w:hAnsiTheme="minorHAnsi" w:cstheme="minorHAnsi"/>
          <w:sz w:val="22"/>
          <w:szCs w:val="22"/>
          <w:lang w:val="en-US"/>
        </w:rPr>
        <w:lastRenderedPageBreak/>
        <w:t>Koufteros</w:t>
      </w:r>
      <w:proofErr w:type="spellEnd"/>
      <w:r w:rsidRPr="005028C6">
        <w:rPr>
          <w:rFonts w:asciiTheme="minorHAnsi" w:hAnsiTheme="minorHAnsi" w:cstheme="minorHAnsi"/>
          <w:sz w:val="22"/>
          <w:szCs w:val="22"/>
          <w:lang w:val="en-US"/>
        </w:rPr>
        <w:t xml:space="preserve">, X.A. (1999). Testing a model of pull production: a paradigm for manufacturing research using structural equation modeling, </w:t>
      </w:r>
      <w:r w:rsidRPr="005028C6">
        <w:rPr>
          <w:rFonts w:asciiTheme="minorHAnsi" w:hAnsiTheme="minorHAnsi" w:cstheme="minorHAnsi"/>
          <w:i/>
          <w:sz w:val="22"/>
          <w:szCs w:val="22"/>
          <w:lang w:val="en-US"/>
        </w:rPr>
        <w:t>Journal of Operations Management, 17</w:t>
      </w:r>
      <w:r w:rsidRPr="005028C6">
        <w:rPr>
          <w:rFonts w:asciiTheme="minorHAnsi" w:hAnsiTheme="minorHAnsi" w:cstheme="minorHAnsi"/>
          <w:sz w:val="22"/>
          <w:szCs w:val="22"/>
          <w:lang w:val="en-US"/>
        </w:rPr>
        <w:t xml:space="preserve">(4), 467-488. </w:t>
      </w:r>
      <w:hyperlink r:id="rId30" w:history="1">
        <w:r w:rsidRPr="005028C6">
          <w:rPr>
            <w:rStyle w:val="-"/>
            <w:rFonts w:asciiTheme="minorHAnsi" w:hAnsiTheme="minorHAnsi" w:cstheme="minorHAnsi"/>
            <w:sz w:val="22"/>
            <w:szCs w:val="22"/>
            <w:lang w:val="en-US"/>
          </w:rPr>
          <w:t>https://doi.org/10.1016/S0272-6963(99)00002-9</w:t>
        </w:r>
      </w:hyperlink>
      <w:r w:rsidRPr="005028C6">
        <w:rPr>
          <w:rFonts w:asciiTheme="minorHAnsi" w:hAnsiTheme="minorHAnsi" w:cstheme="minorHAnsi"/>
          <w:sz w:val="22"/>
          <w:szCs w:val="22"/>
          <w:lang w:val="en-US"/>
        </w:rPr>
        <w:t xml:space="preserve">. </w:t>
      </w:r>
    </w:p>
    <w:p w14:paraId="308D405F" w14:textId="77777777" w:rsidR="00B41324" w:rsidRPr="005028C6" w:rsidRDefault="00B41324" w:rsidP="00B41324">
      <w:pPr>
        <w:tabs>
          <w:tab w:val="left" w:pos="7230"/>
        </w:tabs>
        <w:ind w:firstLine="567"/>
        <w:jc w:val="both"/>
        <w:rPr>
          <w:rFonts w:asciiTheme="minorHAnsi" w:hAnsiTheme="minorHAnsi" w:cstheme="minorHAnsi"/>
          <w:sz w:val="22"/>
          <w:szCs w:val="22"/>
          <w:lang w:val="en-US"/>
        </w:rPr>
      </w:pPr>
      <w:proofErr w:type="spellStart"/>
      <w:r w:rsidRPr="005028C6">
        <w:rPr>
          <w:rFonts w:asciiTheme="minorHAnsi" w:hAnsiTheme="minorHAnsi" w:cstheme="minorHAnsi"/>
          <w:sz w:val="22"/>
          <w:szCs w:val="22"/>
          <w:lang w:val="en-US"/>
        </w:rPr>
        <w:t>Lachapelle</w:t>
      </w:r>
      <w:proofErr w:type="spellEnd"/>
      <w:r w:rsidRPr="005028C6">
        <w:rPr>
          <w:rFonts w:asciiTheme="minorHAnsi" w:hAnsiTheme="minorHAnsi" w:cstheme="minorHAnsi"/>
          <w:sz w:val="22"/>
          <w:szCs w:val="22"/>
          <w:lang w:val="en-US"/>
        </w:rPr>
        <w:t xml:space="preserve">, Y., </w:t>
      </w:r>
      <w:proofErr w:type="spellStart"/>
      <w:r w:rsidRPr="005028C6">
        <w:rPr>
          <w:rFonts w:asciiTheme="minorHAnsi" w:hAnsiTheme="minorHAnsi" w:cstheme="minorHAnsi"/>
          <w:sz w:val="22"/>
          <w:szCs w:val="22"/>
          <w:lang w:val="en-US"/>
        </w:rPr>
        <w:t>Wehmeyer</w:t>
      </w:r>
      <w:proofErr w:type="spellEnd"/>
      <w:r w:rsidRPr="005028C6">
        <w:rPr>
          <w:rFonts w:asciiTheme="minorHAnsi" w:hAnsiTheme="minorHAnsi" w:cstheme="minorHAnsi"/>
          <w:sz w:val="22"/>
          <w:szCs w:val="22"/>
          <w:lang w:val="en-US"/>
        </w:rPr>
        <w:t xml:space="preserve">, M. L., </w:t>
      </w:r>
      <w:proofErr w:type="spellStart"/>
      <w:r w:rsidRPr="005028C6">
        <w:rPr>
          <w:rFonts w:asciiTheme="minorHAnsi" w:hAnsiTheme="minorHAnsi" w:cstheme="minorHAnsi"/>
          <w:sz w:val="22"/>
          <w:szCs w:val="22"/>
          <w:lang w:val="en-US"/>
        </w:rPr>
        <w:t>Haelewyck</w:t>
      </w:r>
      <w:proofErr w:type="spellEnd"/>
      <w:r w:rsidRPr="005028C6">
        <w:rPr>
          <w:rFonts w:asciiTheme="minorHAnsi" w:hAnsiTheme="minorHAnsi" w:cstheme="minorHAnsi"/>
          <w:sz w:val="22"/>
          <w:szCs w:val="22"/>
          <w:lang w:val="en-US"/>
        </w:rPr>
        <w:t xml:space="preserve">, M. C., </w:t>
      </w:r>
      <w:proofErr w:type="spellStart"/>
      <w:r w:rsidRPr="005028C6">
        <w:rPr>
          <w:rFonts w:asciiTheme="minorHAnsi" w:hAnsiTheme="minorHAnsi" w:cstheme="minorHAnsi"/>
          <w:sz w:val="22"/>
          <w:szCs w:val="22"/>
          <w:lang w:val="en-US"/>
        </w:rPr>
        <w:t>Courbois</w:t>
      </w:r>
      <w:proofErr w:type="spellEnd"/>
      <w:r w:rsidRPr="005028C6">
        <w:rPr>
          <w:rFonts w:asciiTheme="minorHAnsi" w:hAnsiTheme="minorHAnsi" w:cstheme="minorHAnsi"/>
          <w:sz w:val="22"/>
          <w:szCs w:val="22"/>
          <w:lang w:val="en-US"/>
        </w:rPr>
        <w:t xml:space="preserve">, Y., Keith, K. D., </w:t>
      </w:r>
      <w:proofErr w:type="spellStart"/>
      <w:r w:rsidRPr="005028C6">
        <w:rPr>
          <w:rFonts w:asciiTheme="minorHAnsi" w:hAnsiTheme="minorHAnsi" w:cstheme="minorHAnsi"/>
          <w:sz w:val="22"/>
          <w:szCs w:val="22"/>
          <w:lang w:val="en-US"/>
        </w:rPr>
        <w:t>Schalock</w:t>
      </w:r>
      <w:proofErr w:type="spellEnd"/>
      <w:r w:rsidRPr="005028C6">
        <w:rPr>
          <w:rFonts w:asciiTheme="minorHAnsi" w:hAnsiTheme="minorHAnsi" w:cstheme="minorHAnsi"/>
          <w:sz w:val="22"/>
          <w:szCs w:val="22"/>
          <w:lang w:val="en-US"/>
        </w:rPr>
        <w:t xml:space="preserve">, R., Verdugo, M. A., &amp; Walsh, P. N. (2005). The relationship between quality of life and self-determination: An international study. </w:t>
      </w:r>
      <w:r w:rsidRPr="005028C6">
        <w:rPr>
          <w:rFonts w:asciiTheme="minorHAnsi" w:hAnsiTheme="minorHAnsi" w:cstheme="minorHAnsi"/>
          <w:i/>
          <w:sz w:val="22"/>
          <w:szCs w:val="22"/>
          <w:lang w:val="en-US"/>
        </w:rPr>
        <w:t>Journal of Intellectual Disability Research, 49</w:t>
      </w:r>
      <w:r w:rsidRPr="005028C6">
        <w:rPr>
          <w:rFonts w:asciiTheme="minorHAnsi" w:hAnsiTheme="minorHAnsi" w:cstheme="minorHAnsi"/>
          <w:sz w:val="22"/>
          <w:szCs w:val="22"/>
          <w:lang w:val="en-US"/>
        </w:rPr>
        <w:t xml:space="preserve">(10), 740–744. </w:t>
      </w:r>
      <w:hyperlink r:id="rId31" w:history="1">
        <w:r w:rsidRPr="005028C6">
          <w:rPr>
            <w:rStyle w:val="-"/>
            <w:rFonts w:asciiTheme="minorHAnsi" w:hAnsiTheme="minorHAnsi" w:cstheme="minorHAnsi"/>
            <w:sz w:val="22"/>
            <w:szCs w:val="22"/>
            <w:lang w:val="en-US"/>
          </w:rPr>
          <w:t>https://doi.org/10.1111/j.1365-2788.2005.00743.x</w:t>
        </w:r>
      </w:hyperlink>
      <w:r w:rsidRPr="005028C6">
        <w:rPr>
          <w:rStyle w:val="-"/>
          <w:rFonts w:asciiTheme="minorHAnsi" w:hAnsiTheme="minorHAnsi" w:cstheme="minorHAnsi"/>
          <w:sz w:val="22"/>
          <w:szCs w:val="22"/>
          <w:lang w:val="en-US"/>
        </w:rPr>
        <w:t xml:space="preserve">. </w:t>
      </w:r>
    </w:p>
    <w:p w14:paraId="35EB4F29" w14:textId="77777777" w:rsidR="00B41324" w:rsidRPr="005028C6" w:rsidRDefault="00B41324" w:rsidP="00B41324">
      <w:pPr>
        <w:tabs>
          <w:tab w:val="left" w:pos="7230"/>
        </w:tabs>
        <w:ind w:firstLine="567"/>
        <w:jc w:val="both"/>
        <w:rPr>
          <w:rFonts w:asciiTheme="minorHAnsi" w:hAnsiTheme="minorHAnsi" w:cstheme="minorHAnsi"/>
          <w:sz w:val="22"/>
          <w:szCs w:val="22"/>
          <w:lang w:val="en-US"/>
        </w:rPr>
      </w:pPr>
      <w:r w:rsidRPr="005028C6">
        <w:rPr>
          <w:rFonts w:asciiTheme="minorHAnsi" w:hAnsiTheme="minorHAnsi" w:cstheme="minorHAnsi"/>
          <w:sz w:val="22"/>
          <w:szCs w:val="22"/>
          <w:lang w:val="en-US"/>
        </w:rPr>
        <w:t xml:space="preserve">Lu, C.S., Lai, K.H. &amp; Cheng, T.C.E. (2007). Application of structural equation modeling to evaluate the intention of shippers to use Internet services in liner shipping, </w:t>
      </w:r>
      <w:r w:rsidRPr="005028C6">
        <w:rPr>
          <w:rFonts w:asciiTheme="minorHAnsi" w:hAnsiTheme="minorHAnsi" w:cstheme="minorHAnsi"/>
          <w:i/>
          <w:sz w:val="22"/>
          <w:szCs w:val="22"/>
          <w:lang w:val="en-US"/>
        </w:rPr>
        <w:t>European Journal of Operational Research, 180</w:t>
      </w:r>
      <w:r w:rsidRPr="005028C6">
        <w:rPr>
          <w:rFonts w:asciiTheme="minorHAnsi" w:hAnsiTheme="minorHAnsi" w:cstheme="minorHAnsi"/>
          <w:sz w:val="22"/>
          <w:szCs w:val="22"/>
          <w:lang w:val="en-US"/>
        </w:rPr>
        <w:t xml:space="preserve">(2), 845-867. </w:t>
      </w:r>
      <w:hyperlink r:id="rId32" w:history="1">
        <w:r w:rsidRPr="005028C6">
          <w:rPr>
            <w:rStyle w:val="-"/>
            <w:rFonts w:asciiTheme="minorHAnsi" w:hAnsiTheme="minorHAnsi" w:cstheme="minorHAnsi"/>
            <w:sz w:val="22"/>
            <w:szCs w:val="22"/>
            <w:lang w:val="en-US"/>
          </w:rPr>
          <w:t>https://doi.org/10.1016/j.ejor.2006.05.001</w:t>
        </w:r>
      </w:hyperlink>
      <w:r w:rsidRPr="005028C6">
        <w:rPr>
          <w:rFonts w:asciiTheme="minorHAnsi" w:hAnsiTheme="minorHAnsi" w:cstheme="minorHAnsi"/>
          <w:sz w:val="22"/>
          <w:szCs w:val="22"/>
          <w:lang w:val="en-US"/>
        </w:rPr>
        <w:t xml:space="preserve">. </w:t>
      </w:r>
    </w:p>
    <w:p w14:paraId="1F4898C9" w14:textId="77777777" w:rsidR="00B41324" w:rsidRPr="005028C6" w:rsidRDefault="00B41324" w:rsidP="00B41324">
      <w:pPr>
        <w:pStyle w:val="jdiowc"/>
        <w:tabs>
          <w:tab w:val="left" w:pos="7230"/>
        </w:tabs>
        <w:spacing w:before="0" w:beforeAutospacing="0" w:after="0" w:afterAutospacing="0"/>
        <w:ind w:firstLine="567"/>
        <w:jc w:val="both"/>
        <w:rPr>
          <w:rFonts w:asciiTheme="minorHAnsi" w:hAnsiTheme="minorHAnsi" w:cstheme="minorHAnsi"/>
          <w:sz w:val="22"/>
          <w:szCs w:val="22"/>
          <w:lang w:val="en-US"/>
        </w:rPr>
      </w:pPr>
      <w:r w:rsidRPr="005028C6">
        <w:rPr>
          <w:rFonts w:asciiTheme="minorHAnsi" w:hAnsiTheme="minorHAnsi" w:cstheme="minorHAnsi"/>
          <w:sz w:val="22"/>
          <w:szCs w:val="22"/>
          <w:lang w:val="en-US"/>
        </w:rPr>
        <w:t xml:space="preserve">Medina, F. J., &amp; </w:t>
      </w:r>
      <w:proofErr w:type="spellStart"/>
      <w:r w:rsidRPr="005028C6">
        <w:rPr>
          <w:rFonts w:asciiTheme="minorHAnsi" w:hAnsiTheme="minorHAnsi" w:cstheme="minorHAnsi"/>
          <w:sz w:val="22"/>
          <w:szCs w:val="22"/>
          <w:lang w:val="en-US"/>
        </w:rPr>
        <w:t>Gamero</w:t>
      </w:r>
      <w:proofErr w:type="spellEnd"/>
      <w:r w:rsidRPr="005028C6">
        <w:rPr>
          <w:rFonts w:asciiTheme="minorHAnsi" w:hAnsiTheme="minorHAnsi" w:cstheme="minorHAnsi"/>
          <w:sz w:val="22"/>
          <w:szCs w:val="22"/>
          <w:lang w:val="en-US"/>
        </w:rPr>
        <w:t xml:space="preserve">, N. (2017). The socialization process: Helping organizations integrate people with disabilities into the workplace. In A. Arenas, D. Di Marco, L. </w:t>
      </w:r>
      <w:proofErr w:type="spellStart"/>
      <w:r w:rsidRPr="005028C6">
        <w:rPr>
          <w:rFonts w:asciiTheme="minorHAnsi" w:hAnsiTheme="minorHAnsi" w:cstheme="minorHAnsi"/>
          <w:sz w:val="22"/>
          <w:szCs w:val="22"/>
          <w:lang w:val="en-US"/>
        </w:rPr>
        <w:t>Munduate</w:t>
      </w:r>
      <w:proofErr w:type="spellEnd"/>
      <w:r w:rsidRPr="005028C6">
        <w:rPr>
          <w:rFonts w:asciiTheme="minorHAnsi" w:hAnsiTheme="minorHAnsi" w:cstheme="minorHAnsi"/>
          <w:sz w:val="22"/>
          <w:szCs w:val="22"/>
          <w:lang w:val="en-US"/>
        </w:rPr>
        <w:t xml:space="preserve">, &amp; M. C. </w:t>
      </w:r>
      <w:proofErr w:type="spellStart"/>
      <w:r w:rsidRPr="005028C6">
        <w:rPr>
          <w:rFonts w:asciiTheme="minorHAnsi" w:hAnsiTheme="minorHAnsi" w:cstheme="minorHAnsi"/>
          <w:sz w:val="22"/>
          <w:szCs w:val="22"/>
          <w:lang w:val="en-US"/>
        </w:rPr>
        <w:t>Euwema</w:t>
      </w:r>
      <w:proofErr w:type="spellEnd"/>
      <w:r w:rsidRPr="005028C6">
        <w:rPr>
          <w:rFonts w:asciiTheme="minorHAnsi" w:hAnsiTheme="minorHAnsi" w:cstheme="minorHAnsi"/>
          <w:sz w:val="22"/>
          <w:szCs w:val="22"/>
          <w:lang w:val="en-US"/>
        </w:rPr>
        <w:t xml:space="preserve"> (Eds.), </w:t>
      </w:r>
      <w:r w:rsidRPr="005028C6">
        <w:rPr>
          <w:rFonts w:asciiTheme="minorHAnsi" w:hAnsiTheme="minorHAnsi" w:cstheme="minorHAnsi"/>
          <w:i/>
          <w:sz w:val="22"/>
          <w:szCs w:val="22"/>
          <w:lang w:val="en-US"/>
        </w:rPr>
        <w:t>Shaping inclusive workplaces through social dialogue</w:t>
      </w:r>
      <w:r w:rsidRPr="005028C6">
        <w:rPr>
          <w:rFonts w:asciiTheme="minorHAnsi" w:hAnsiTheme="minorHAnsi" w:cstheme="minorHAnsi"/>
          <w:sz w:val="22"/>
          <w:szCs w:val="22"/>
          <w:lang w:val="en-US"/>
        </w:rPr>
        <w:t xml:space="preserve"> (pp. 139–152). Springer. </w:t>
      </w:r>
      <w:hyperlink r:id="rId33" w:history="1">
        <w:r w:rsidRPr="005028C6">
          <w:rPr>
            <w:rStyle w:val="-"/>
            <w:rFonts w:asciiTheme="minorHAnsi" w:hAnsiTheme="minorHAnsi" w:cstheme="minorHAnsi"/>
            <w:sz w:val="22"/>
            <w:szCs w:val="22"/>
            <w:lang w:val="en-US"/>
          </w:rPr>
          <w:t>https://doi.org/10.1007/978-3-319-66393-7_9</w:t>
        </w:r>
      </w:hyperlink>
      <w:r w:rsidRPr="005028C6">
        <w:rPr>
          <w:rStyle w:val="-"/>
          <w:rFonts w:asciiTheme="minorHAnsi" w:hAnsiTheme="minorHAnsi" w:cstheme="minorHAnsi"/>
          <w:sz w:val="22"/>
          <w:szCs w:val="22"/>
          <w:lang w:val="en-US"/>
        </w:rPr>
        <w:t xml:space="preserve">. </w:t>
      </w:r>
    </w:p>
    <w:p w14:paraId="3F1A1609" w14:textId="77777777" w:rsidR="00B41324" w:rsidRPr="005028C6" w:rsidRDefault="00B41324" w:rsidP="00B41324">
      <w:pPr>
        <w:pStyle w:val="jdiowc"/>
        <w:tabs>
          <w:tab w:val="left" w:pos="7230"/>
        </w:tabs>
        <w:spacing w:before="0" w:beforeAutospacing="0" w:after="0" w:afterAutospacing="0"/>
        <w:ind w:firstLine="567"/>
        <w:jc w:val="both"/>
        <w:rPr>
          <w:rFonts w:asciiTheme="minorHAnsi" w:hAnsiTheme="minorHAnsi" w:cstheme="minorHAnsi"/>
          <w:sz w:val="22"/>
          <w:szCs w:val="22"/>
          <w:lang w:val="en-US"/>
        </w:rPr>
      </w:pPr>
      <w:r w:rsidRPr="005028C6">
        <w:rPr>
          <w:rFonts w:asciiTheme="minorHAnsi" w:hAnsiTheme="minorHAnsi" w:cstheme="minorHAnsi"/>
          <w:sz w:val="22"/>
          <w:szCs w:val="22"/>
          <w:lang w:val="en-US"/>
        </w:rPr>
        <w:t xml:space="preserve">Michie, S., van </w:t>
      </w:r>
      <w:proofErr w:type="spellStart"/>
      <w:r w:rsidRPr="005028C6">
        <w:rPr>
          <w:rFonts w:asciiTheme="minorHAnsi" w:hAnsiTheme="minorHAnsi" w:cstheme="minorHAnsi"/>
          <w:sz w:val="22"/>
          <w:szCs w:val="22"/>
          <w:lang w:val="en-US"/>
        </w:rPr>
        <w:t>Stralen</w:t>
      </w:r>
      <w:proofErr w:type="spellEnd"/>
      <w:r w:rsidRPr="005028C6">
        <w:rPr>
          <w:rFonts w:asciiTheme="minorHAnsi" w:hAnsiTheme="minorHAnsi" w:cstheme="minorHAnsi"/>
          <w:sz w:val="22"/>
          <w:szCs w:val="22"/>
          <w:lang w:val="en-US"/>
        </w:rPr>
        <w:t xml:space="preserve">, M.M. &amp; West, R. The </w:t>
      </w:r>
      <w:proofErr w:type="spellStart"/>
      <w:r w:rsidRPr="005028C6">
        <w:rPr>
          <w:rFonts w:asciiTheme="minorHAnsi" w:hAnsiTheme="minorHAnsi" w:cstheme="minorHAnsi"/>
          <w:sz w:val="22"/>
          <w:szCs w:val="22"/>
          <w:lang w:val="en-US"/>
        </w:rPr>
        <w:t>behaviour</w:t>
      </w:r>
      <w:proofErr w:type="spellEnd"/>
      <w:r w:rsidRPr="005028C6">
        <w:rPr>
          <w:rFonts w:asciiTheme="minorHAnsi" w:hAnsiTheme="minorHAnsi" w:cstheme="minorHAnsi"/>
          <w:sz w:val="22"/>
          <w:szCs w:val="22"/>
          <w:lang w:val="en-US"/>
        </w:rPr>
        <w:t xml:space="preserve"> change wheel: A new method for </w:t>
      </w:r>
      <w:proofErr w:type="spellStart"/>
      <w:r w:rsidRPr="005028C6">
        <w:rPr>
          <w:rFonts w:asciiTheme="minorHAnsi" w:hAnsiTheme="minorHAnsi" w:cstheme="minorHAnsi"/>
          <w:sz w:val="22"/>
          <w:szCs w:val="22"/>
          <w:lang w:val="en-US"/>
        </w:rPr>
        <w:t>characterising</w:t>
      </w:r>
      <w:proofErr w:type="spellEnd"/>
      <w:r w:rsidRPr="005028C6">
        <w:rPr>
          <w:rFonts w:asciiTheme="minorHAnsi" w:hAnsiTheme="minorHAnsi" w:cstheme="minorHAnsi"/>
          <w:sz w:val="22"/>
          <w:szCs w:val="22"/>
          <w:lang w:val="en-US"/>
        </w:rPr>
        <w:t xml:space="preserve"> and designing </w:t>
      </w:r>
      <w:proofErr w:type="spellStart"/>
      <w:r w:rsidRPr="005028C6">
        <w:rPr>
          <w:rFonts w:asciiTheme="minorHAnsi" w:hAnsiTheme="minorHAnsi" w:cstheme="minorHAnsi"/>
          <w:sz w:val="22"/>
          <w:szCs w:val="22"/>
          <w:lang w:val="en-US"/>
        </w:rPr>
        <w:t>behaviour</w:t>
      </w:r>
      <w:proofErr w:type="spellEnd"/>
      <w:r w:rsidRPr="005028C6">
        <w:rPr>
          <w:rFonts w:asciiTheme="minorHAnsi" w:hAnsiTheme="minorHAnsi" w:cstheme="minorHAnsi"/>
          <w:sz w:val="22"/>
          <w:szCs w:val="22"/>
          <w:lang w:val="en-US"/>
        </w:rPr>
        <w:t xml:space="preserve"> change interventions. </w:t>
      </w:r>
      <w:r w:rsidRPr="005028C6">
        <w:rPr>
          <w:rFonts w:asciiTheme="minorHAnsi" w:hAnsiTheme="minorHAnsi" w:cstheme="minorHAnsi"/>
          <w:i/>
          <w:iCs/>
          <w:sz w:val="22"/>
          <w:szCs w:val="22"/>
          <w:lang w:val="en-US"/>
        </w:rPr>
        <w:t>Implementation Science</w:t>
      </w:r>
      <w:r w:rsidRPr="005028C6">
        <w:rPr>
          <w:rFonts w:asciiTheme="minorHAnsi" w:hAnsiTheme="minorHAnsi" w:cstheme="minorHAnsi"/>
          <w:sz w:val="22"/>
          <w:szCs w:val="22"/>
          <w:lang w:val="en-US"/>
        </w:rPr>
        <w:t xml:space="preserve"> </w:t>
      </w:r>
      <w:r w:rsidRPr="005028C6">
        <w:rPr>
          <w:rFonts w:asciiTheme="minorHAnsi" w:hAnsiTheme="minorHAnsi" w:cstheme="minorHAnsi"/>
          <w:bCs/>
          <w:sz w:val="22"/>
          <w:szCs w:val="22"/>
          <w:lang w:val="en-US"/>
        </w:rPr>
        <w:t>6</w:t>
      </w:r>
      <w:r w:rsidRPr="005028C6">
        <w:rPr>
          <w:rFonts w:asciiTheme="minorHAnsi" w:hAnsiTheme="minorHAnsi" w:cstheme="minorHAnsi"/>
          <w:sz w:val="22"/>
          <w:szCs w:val="22"/>
          <w:lang w:val="en-US"/>
        </w:rPr>
        <w:t xml:space="preserve">, 42 (2011). </w:t>
      </w:r>
      <w:hyperlink r:id="rId34" w:history="1">
        <w:r w:rsidRPr="005028C6">
          <w:rPr>
            <w:rStyle w:val="-"/>
            <w:rFonts w:asciiTheme="minorHAnsi" w:hAnsiTheme="minorHAnsi" w:cstheme="minorHAnsi"/>
            <w:sz w:val="22"/>
            <w:szCs w:val="22"/>
            <w:lang w:val="en-US"/>
          </w:rPr>
          <w:t>https://doi.org/10.1186/1748-5908-6-42</w:t>
        </w:r>
      </w:hyperlink>
    </w:p>
    <w:p w14:paraId="66CC27E4" w14:textId="77777777" w:rsidR="00B41324" w:rsidRPr="00CB2A64" w:rsidRDefault="00B41324" w:rsidP="00B41324">
      <w:pPr>
        <w:ind w:firstLine="720"/>
        <w:jc w:val="both"/>
        <w:rPr>
          <w:rFonts w:asciiTheme="minorHAnsi" w:hAnsiTheme="minorHAnsi" w:cstheme="minorHAnsi"/>
          <w:sz w:val="22"/>
          <w:szCs w:val="22"/>
          <w:lang w:val="en-US" w:eastAsia="el-GR"/>
        </w:rPr>
      </w:pPr>
      <w:r w:rsidRPr="005028C6">
        <w:rPr>
          <w:rFonts w:asciiTheme="minorHAnsi" w:hAnsiTheme="minorHAnsi" w:cstheme="minorHAnsi"/>
          <w:sz w:val="22"/>
          <w:szCs w:val="22"/>
          <w:lang w:val="en-US" w:eastAsia="el-GR"/>
        </w:rPr>
        <w:t xml:space="preserve">Mitra, S. (2006). The Capability Approach and Disability. </w:t>
      </w:r>
      <w:r w:rsidRPr="005028C6">
        <w:rPr>
          <w:rFonts w:asciiTheme="minorHAnsi" w:hAnsiTheme="minorHAnsi" w:cstheme="minorHAnsi"/>
          <w:i/>
          <w:iCs/>
          <w:sz w:val="22"/>
          <w:szCs w:val="22"/>
          <w:lang w:val="en-US" w:eastAsia="el-GR"/>
        </w:rPr>
        <w:t>Journal of Disability Policy Studies</w:t>
      </w:r>
      <w:r w:rsidRPr="005028C6">
        <w:rPr>
          <w:rFonts w:asciiTheme="minorHAnsi" w:hAnsiTheme="minorHAnsi" w:cstheme="minorHAnsi"/>
          <w:sz w:val="22"/>
          <w:szCs w:val="22"/>
          <w:lang w:val="en-US" w:eastAsia="el-GR"/>
        </w:rPr>
        <w:t xml:space="preserve">, </w:t>
      </w:r>
      <w:r w:rsidRPr="005028C6">
        <w:rPr>
          <w:rFonts w:asciiTheme="minorHAnsi" w:hAnsiTheme="minorHAnsi" w:cstheme="minorHAnsi"/>
          <w:i/>
          <w:iCs/>
          <w:sz w:val="22"/>
          <w:szCs w:val="22"/>
          <w:lang w:val="en-US" w:eastAsia="el-GR"/>
        </w:rPr>
        <w:t>16</w:t>
      </w:r>
      <w:r w:rsidRPr="005028C6">
        <w:rPr>
          <w:rFonts w:asciiTheme="minorHAnsi" w:hAnsiTheme="minorHAnsi" w:cstheme="minorHAnsi"/>
          <w:sz w:val="22"/>
          <w:szCs w:val="22"/>
          <w:lang w:val="en-US" w:eastAsia="el-GR"/>
        </w:rPr>
        <w:t xml:space="preserve">(4), 236-247. </w:t>
      </w:r>
      <w:hyperlink r:id="rId35" w:history="1">
        <w:r w:rsidRPr="005028C6">
          <w:rPr>
            <w:rStyle w:val="-"/>
            <w:rFonts w:asciiTheme="minorHAnsi" w:hAnsiTheme="minorHAnsi" w:cstheme="minorHAnsi"/>
            <w:sz w:val="22"/>
            <w:szCs w:val="22"/>
            <w:lang w:val="en-US" w:eastAsia="el-GR"/>
          </w:rPr>
          <w:t>https</w:t>
        </w:r>
        <w:r w:rsidRPr="00CB2A64">
          <w:rPr>
            <w:rStyle w:val="-"/>
            <w:rFonts w:asciiTheme="minorHAnsi" w:hAnsiTheme="minorHAnsi" w:cstheme="minorHAnsi"/>
            <w:sz w:val="22"/>
            <w:szCs w:val="22"/>
            <w:lang w:val="en-US" w:eastAsia="el-GR"/>
          </w:rPr>
          <w:t>://</w:t>
        </w:r>
        <w:r w:rsidRPr="005028C6">
          <w:rPr>
            <w:rStyle w:val="-"/>
            <w:rFonts w:asciiTheme="minorHAnsi" w:hAnsiTheme="minorHAnsi" w:cstheme="minorHAnsi"/>
            <w:sz w:val="22"/>
            <w:szCs w:val="22"/>
            <w:lang w:val="en-US" w:eastAsia="el-GR"/>
          </w:rPr>
          <w:t>doi</w:t>
        </w:r>
        <w:r w:rsidRPr="00CB2A64">
          <w:rPr>
            <w:rStyle w:val="-"/>
            <w:rFonts w:asciiTheme="minorHAnsi" w:hAnsiTheme="minorHAnsi" w:cstheme="minorHAnsi"/>
            <w:sz w:val="22"/>
            <w:szCs w:val="22"/>
            <w:lang w:val="en-US" w:eastAsia="el-GR"/>
          </w:rPr>
          <w:t>.</w:t>
        </w:r>
        <w:r w:rsidRPr="005028C6">
          <w:rPr>
            <w:rStyle w:val="-"/>
            <w:rFonts w:asciiTheme="minorHAnsi" w:hAnsiTheme="minorHAnsi" w:cstheme="minorHAnsi"/>
            <w:sz w:val="22"/>
            <w:szCs w:val="22"/>
            <w:lang w:val="en-US" w:eastAsia="el-GR"/>
          </w:rPr>
          <w:t>org</w:t>
        </w:r>
        <w:r w:rsidRPr="00CB2A64">
          <w:rPr>
            <w:rStyle w:val="-"/>
            <w:rFonts w:asciiTheme="minorHAnsi" w:hAnsiTheme="minorHAnsi" w:cstheme="minorHAnsi"/>
            <w:sz w:val="22"/>
            <w:szCs w:val="22"/>
            <w:lang w:val="en-US" w:eastAsia="el-GR"/>
          </w:rPr>
          <w:t>/10.1177/10442073060160040501</w:t>
        </w:r>
      </w:hyperlink>
      <w:r w:rsidRPr="00CB2A64">
        <w:rPr>
          <w:rFonts w:asciiTheme="minorHAnsi" w:hAnsiTheme="minorHAnsi" w:cstheme="minorHAnsi"/>
          <w:sz w:val="22"/>
          <w:szCs w:val="22"/>
          <w:lang w:val="en-US" w:eastAsia="el-GR"/>
        </w:rPr>
        <w:t xml:space="preserve"> </w:t>
      </w:r>
    </w:p>
    <w:p w14:paraId="0077E750" w14:textId="77777777" w:rsidR="00B41324" w:rsidRPr="005028C6" w:rsidRDefault="00B41324" w:rsidP="00B41324">
      <w:pPr>
        <w:pStyle w:val="jdiowc"/>
        <w:tabs>
          <w:tab w:val="left" w:pos="7230"/>
        </w:tabs>
        <w:spacing w:before="0" w:beforeAutospacing="0" w:after="0" w:afterAutospacing="0"/>
        <w:ind w:firstLine="567"/>
        <w:jc w:val="both"/>
        <w:rPr>
          <w:rFonts w:asciiTheme="minorHAnsi" w:hAnsiTheme="minorHAnsi" w:cstheme="minorHAnsi"/>
          <w:sz w:val="22"/>
          <w:szCs w:val="22"/>
          <w:lang w:val="en-US"/>
        </w:rPr>
      </w:pPr>
      <w:proofErr w:type="spellStart"/>
      <w:r w:rsidRPr="005028C6">
        <w:rPr>
          <w:rFonts w:asciiTheme="minorHAnsi" w:hAnsiTheme="minorHAnsi" w:cstheme="minorHAnsi"/>
          <w:sz w:val="22"/>
          <w:szCs w:val="22"/>
          <w:lang w:val="en-US"/>
        </w:rPr>
        <w:t>Munduate</w:t>
      </w:r>
      <w:proofErr w:type="spellEnd"/>
      <w:r w:rsidRPr="005028C6">
        <w:rPr>
          <w:rFonts w:asciiTheme="minorHAnsi" w:hAnsiTheme="minorHAnsi" w:cstheme="minorHAnsi"/>
          <w:sz w:val="22"/>
          <w:szCs w:val="22"/>
          <w:lang w:val="en-US"/>
        </w:rPr>
        <w:t>, L., Marco, D. D., Martínez-</w:t>
      </w:r>
      <w:proofErr w:type="spellStart"/>
      <w:r w:rsidRPr="005028C6">
        <w:rPr>
          <w:rFonts w:asciiTheme="minorHAnsi" w:hAnsiTheme="minorHAnsi" w:cstheme="minorHAnsi"/>
          <w:sz w:val="22"/>
          <w:szCs w:val="22"/>
          <w:lang w:val="en-US"/>
        </w:rPr>
        <w:t>Corts</w:t>
      </w:r>
      <w:proofErr w:type="spellEnd"/>
      <w:r w:rsidRPr="005028C6">
        <w:rPr>
          <w:rFonts w:asciiTheme="minorHAnsi" w:hAnsiTheme="minorHAnsi" w:cstheme="minorHAnsi"/>
          <w:sz w:val="22"/>
          <w:szCs w:val="22"/>
          <w:lang w:val="en-US"/>
        </w:rPr>
        <w:t xml:space="preserve">, I., Arenas, A., &amp; </w:t>
      </w:r>
      <w:proofErr w:type="spellStart"/>
      <w:r w:rsidRPr="005028C6">
        <w:rPr>
          <w:rFonts w:asciiTheme="minorHAnsi" w:hAnsiTheme="minorHAnsi" w:cstheme="minorHAnsi"/>
          <w:sz w:val="22"/>
          <w:szCs w:val="22"/>
          <w:lang w:val="en-US"/>
        </w:rPr>
        <w:t>Gamero</w:t>
      </w:r>
      <w:proofErr w:type="spellEnd"/>
      <w:r w:rsidRPr="005028C6">
        <w:rPr>
          <w:rFonts w:asciiTheme="minorHAnsi" w:hAnsiTheme="minorHAnsi" w:cstheme="minorHAnsi"/>
          <w:sz w:val="22"/>
          <w:szCs w:val="22"/>
          <w:lang w:val="en-US"/>
        </w:rPr>
        <w:t xml:space="preserve">, N. (2014). Rebuilding the social dialogue and promoting inclusive organizations. A tool for social innovation in times of crisis. </w:t>
      </w:r>
      <w:proofErr w:type="spellStart"/>
      <w:r w:rsidRPr="005028C6">
        <w:rPr>
          <w:rFonts w:asciiTheme="minorHAnsi" w:hAnsiTheme="minorHAnsi" w:cstheme="minorHAnsi"/>
          <w:i/>
          <w:sz w:val="22"/>
          <w:szCs w:val="22"/>
          <w:lang w:val="en-US"/>
        </w:rPr>
        <w:t>Papeles</w:t>
      </w:r>
      <w:proofErr w:type="spellEnd"/>
      <w:r w:rsidRPr="005028C6">
        <w:rPr>
          <w:rFonts w:asciiTheme="minorHAnsi" w:hAnsiTheme="minorHAnsi" w:cstheme="minorHAnsi"/>
          <w:i/>
          <w:sz w:val="22"/>
          <w:szCs w:val="22"/>
          <w:lang w:val="en-US"/>
        </w:rPr>
        <w:t xml:space="preserve"> del </w:t>
      </w:r>
      <w:proofErr w:type="spellStart"/>
      <w:r w:rsidRPr="005028C6">
        <w:rPr>
          <w:rFonts w:asciiTheme="minorHAnsi" w:hAnsiTheme="minorHAnsi" w:cstheme="minorHAnsi"/>
          <w:i/>
          <w:sz w:val="22"/>
          <w:szCs w:val="22"/>
          <w:lang w:val="en-US"/>
        </w:rPr>
        <w:t>Psicologo</w:t>
      </w:r>
      <w:proofErr w:type="spellEnd"/>
      <w:r w:rsidRPr="005028C6">
        <w:rPr>
          <w:rFonts w:asciiTheme="minorHAnsi" w:hAnsiTheme="minorHAnsi" w:cstheme="minorHAnsi"/>
          <w:sz w:val="22"/>
          <w:szCs w:val="22"/>
          <w:lang w:val="en-US"/>
        </w:rPr>
        <w:t xml:space="preserve">, </w:t>
      </w:r>
      <w:r w:rsidRPr="005028C6">
        <w:rPr>
          <w:rFonts w:asciiTheme="minorHAnsi" w:hAnsiTheme="minorHAnsi" w:cstheme="minorHAnsi"/>
          <w:i/>
          <w:sz w:val="22"/>
          <w:szCs w:val="22"/>
          <w:lang w:val="en-US"/>
        </w:rPr>
        <w:t>35</w:t>
      </w:r>
      <w:r w:rsidRPr="005028C6">
        <w:rPr>
          <w:rFonts w:asciiTheme="minorHAnsi" w:hAnsiTheme="minorHAnsi" w:cstheme="minorHAnsi"/>
          <w:sz w:val="22"/>
          <w:szCs w:val="22"/>
          <w:lang w:val="en-US"/>
        </w:rPr>
        <w:t>(2), 122–129.</w:t>
      </w:r>
    </w:p>
    <w:p w14:paraId="12F18836" w14:textId="77777777" w:rsidR="00B41324" w:rsidRDefault="00B41324" w:rsidP="00B41324">
      <w:pPr>
        <w:pStyle w:val="1"/>
        <w:tabs>
          <w:tab w:val="left" w:pos="7230"/>
        </w:tabs>
        <w:ind w:left="0" w:firstLine="567"/>
        <w:rPr>
          <w:rStyle w:val="-"/>
          <w:rFonts w:asciiTheme="minorHAnsi" w:hAnsiTheme="minorHAnsi" w:cstheme="minorHAnsi"/>
          <w:sz w:val="22"/>
          <w:szCs w:val="22"/>
          <w:lang w:val="en-US"/>
        </w:rPr>
      </w:pPr>
      <w:proofErr w:type="spellStart"/>
      <w:r w:rsidRPr="005028C6">
        <w:rPr>
          <w:rFonts w:asciiTheme="minorHAnsi" w:hAnsiTheme="minorHAnsi" w:cstheme="minorHAnsi"/>
          <w:sz w:val="22"/>
          <w:szCs w:val="22"/>
          <w:lang w:val="en-US"/>
        </w:rPr>
        <w:t>Nelissen</w:t>
      </w:r>
      <w:proofErr w:type="spellEnd"/>
      <w:r w:rsidRPr="005028C6">
        <w:rPr>
          <w:rFonts w:asciiTheme="minorHAnsi" w:hAnsiTheme="minorHAnsi" w:cstheme="minorHAnsi"/>
          <w:sz w:val="22"/>
          <w:szCs w:val="22"/>
          <w:lang w:val="en-US"/>
        </w:rPr>
        <w:t xml:space="preserve">, P. T. J. H., </w:t>
      </w:r>
      <w:proofErr w:type="spellStart"/>
      <w:r w:rsidRPr="005028C6">
        <w:rPr>
          <w:rFonts w:asciiTheme="minorHAnsi" w:hAnsiTheme="minorHAnsi" w:cstheme="minorHAnsi"/>
          <w:sz w:val="22"/>
          <w:szCs w:val="22"/>
          <w:lang w:val="en-US"/>
        </w:rPr>
        <w:t>Hülsheger</w:t>
      </w:r>
      <w:proofErr w:type="spellEnd"/>
      <w:r w:rsidRPr="005028C6">
        <w:rPr>
          <w:rFonts w:asciiTheme="minorHAnsi" w:hAnsiTheme="minorHAnsi" w:cstheme="minorHAnsi"/>
          <w:sz w:val="22"/>
          <w:szCs w:val="22"/>
          <w:lang w:val="en-US"/>
        </w:rPr>
        <w:t xml:space="preserve">, U. R., van </w:t>
      </w:r>
      <w:proofErr w:type="spellStart"/>
      <w:r w:rsidRPr="005028C6">
        <w:rPr>
          <w:rFonts w:asciiTheme="minorHAnsi" w:hAnsiTheme="minorHAnsi" w:cstheme="minorHAnsi"/>
          <w:sz w:val="22"/>
          <w:szCs w:val="22"/>
          <w:lang w:val="en-US"/>
        </w:rPr>
        <w:t>Ruitenbeek</w:t>
      </w:r>
      <w:proofErr w:type="spellEnd"/>
      <w:r w:rsidRPr="005028C6">
        <w:rPr>
          <w:rFonts w:asciiTheme="minorHAnsi" w:hAnsiTheme="minorHAnsi" w:cstheme="minorHAnsi"/>
          <w:sz w:val="22"/>
          <w:szCs w:val="22"/>
          <w:lang w:val="en-US"/>
        </w:rPr>
        <w:t xml:space="preserve">, G. M. C., &amp; </w:t>
      </w:r>
      <w:proofErr w:type="spellStart"/>
      <w:r w:rsidRPr="005028C6">
        <w:rPr>
          <w:rFonts w:asciiTheme="minorHAnsi" w:hAnsiTheme="minorHAnsi" w:cstheme="minorHAnsi"/>
          <w:sz w:val="22"/>
          <w:szCs w:val="22"/>
          <w:lang w:val="en-US"/>
        </w:rPr>
        <w:t>Zijlstra</w:t>
      </w:r>
      <w:proofErr w:type="spellEnd"/>
      <w:r w:rsidRPr="005028C6">
        <w:rPr>
          <w:rFonts w:asciiTheme="minorHAnsi" w:hAnsiTheme="minorHAnsi" w:cstheme="minorHAnsi"/>
          <w:sz w:val="22"/>
          <w:szCs w:val="22"/>
          <w:lang w:val="en-US"/>
        </w:rPr>
        <w:t xml:space="preserve">, F. R. H. (2017). Lending a helping hand at work: A multilevel investigation of prosocial motivation, inclusive climate and inclusive behavior. </w:t>
      </w:r>
      <w:r w:rsidRPr="005028C6">
        <w:rPr>
          <w:rFonts w:asciiTheme="minorHAnsi" w:hAnsiTheme="minorHAnsi" w:cstheme="minorHAnsi"/>
          <w:i/>
          <w:sz w:val="22"/>
          <w:szCs w:val="22"/>
          <w:lang w:val="en-US"/>
        </w:rPr>
        <w:t>Journal of Occupational Rehabilitation</w:t>
      </w:r>
      <w:r w:rsidRPr="005028C6">
        <w:rPr>
          <w:rFonts w:asciiTheme="minorHAnsi" w:hAnsiTheme="minorHAnsi" w:cstheme="minorHAnsi"/>
          <w:sz w:val="22"/>
          <w:szCs w:val="22"/>
          <w:lang w:val="en-US"/>
        </w:rPr>
        <w:t xml:space="preserve">, </w:t>
      </w:r>
      <w:r w:rsidRPr="005028C6">
        <w:rPr>
          <w:rFonts w:asciiTheme="minorHAnsi" w:hAnsiTheme="minorHAnsi" w:cstheme="minorHAnsi"/>
          <w:i/>
          <w:sz w:val="22"/>
          <w:szCs w:val="22"/>
          <w:lang w:val="en-US"/>
        </w:rPr>
        <w:t>27</w:t>
      </w:r>
      <w:r w:rsidRPr="005028C6">
        <w:rPr>
          <w:rFonts w:asciiTheme="minorHAnsi" w:hAnsiTheme="minorHAnsi" w:cstheme="minorHAnsi"/>
          <w:sz w:val="22"/>
          <w:szCs w:val="22"/>
          <w:lang w:val="en-US"/>
        </w:rPr>
        <w:t xml:space="preserve">(3), 467–476. </w:t>
      </w:r>
      <w:hyperlink r:id="rId36" w:history="1">
        <w:r w:rsidRPr="005028C6">
          <w:rPr>
            <w:rStyle w:val="-"/>
            <w:rFonts w:asciiTheme="minorHAnsi" w:hAnsiTheme="minorHAnsi" w:cstheme="minorHAnsi"/>
            <w:sz w:val="22"/>
            <w:szCs w:val="22"/>
            <w:lang w:val="en-US"/>
          </w:rPr>
          <w:t>https://doi.org/10.1007/s10926-016-9680-z</w:t>
        </w:r>
      </w:hyperlink>
      <w:r w:rsidRPr="005028C6">
        <w:rPr>
          <w:rStyle w:val="-"/>
          <w:rFonts w:asciiTheme="minorHAnsi" w:hAnsiTheme="minorHAnsi" w:cstheme="minorHAnsi"/>
          <w:sz w:val="22"/>
          <w:szCs w:val="22"/>
          <w:lang w:val="en-US"/>
        </w:rPr>
        <w:t xml:space="preserve">. </w:t>
      </w:r>
    </w:p>
    <w:p w14:paraId="305BE1F0" w14:textId="77777777" w:rsidR="00B41324" w:rsidRPr="005028C6" w:rsidRDefault="00B41324" w:rsidP="00B41324">
      <w:pPr>
        <w:tabs>
          <w:tab w:val="left" w:pos="7230"/>
        </w:tabs>
        <w:ind w:firstLine="567"/>
        <w:jc w:val="both"/>
        <w:rPr>
          <w:rFonts w:asciiTheme="minorHAnsi" w:hAnsiTheme="minorHAnsi" w:cstheme="minorHAnsi"/>
          <w:bCs/>
          <w:sz w:val="22"/>
          <w:szCs w:val="22"/>
          <w:lang w:val="en-US"/>
        </w:rPr>
      </w:pPr>
      <w:r w:rsidRPr="005028C6">
        <w:rPr>
          <w:rFonts w:asciiTheme="minorHAnsi" w:hAnsiTheme="minorHAnsi" w:cstheme="minorHAnsi"/>
          <w:bCs/>
          <w:sz w:val="22"/>
          <w:szCs w:val="22"/>
          <w:lang w:val="en-US"/>
        </w:rPr>
        <w:t xml:space="preserve">Nunnally, J.C. (1978). </w:t>
      </w:r>
      <w:r w:rsidRPr="005028C6">
        <w:rPr>
          <w:rFonts w:asciiTheme="minorHAnsi" w:hAnsiTheme="minorHAnsi" w:cstheme="minorHAnsi"/>
          <w:bCs/>
          <w:i/>
          <w:sz w:val="22"/>
          <w:szCs w:val="22"/>
          <w:lang w:val="en-US"/>
        </w:rPr>
        <w:t>Psychometric Theory</w:t>
      </w:r>
      <w:r w:rsidRPr="005028C6">
        <w:rPr>
          <w:rFonts w:asciiTheme="minorHAnsi" w:hAnsiTheme="minorHAnsi" w:cstheme="minorHAnsi"/>
          <w:bCs/>
          <w:sz w:val="22"/>
          <w:szCs w:val="22"/>
          <w:lang w:val="en-US"/>
        </w:rPr>
        <w:t xml:space="preserve"> (second edition), New York: </w:t>
      </w:r>
      <w:proofErr w:type="spellStart"/>
      <w:r w:rsidRPr="005028C6">
        <w:rPr>
          <w:rFonts w:asciiTheme="minorHAnsi" w:hAnsiTheme="minorHAnsi" w:cstheme="minorHAnsi"/>
          <w:bCs/>
          <w:sz w:val="22"/>
          <w:szCs w:val="22"/>
          <w:lang w:val="en-US"/>
        </w:rPr>
        <w:t>McGrawHill</w:t>
      </w:r>
      <w:proofErr w:type="spellEnd"/>
      <w:r w:rsidRPr="005028C6">
        <w:rPr>
          <w:rFonts w:asciiTheme="minorHAnsi" w:hAnsiTheme="minorHAnsi" w:cstheme="minorHAnsi"/>
          <w:bCs/>
          <w:sz w:val="22"/>
          <w:szCs w:val="22"/>
          <w:lang w:val="en-US"/>
        </w:rPr>
        <w:t>.</w:t>
      </w:r>
    </w:p>
    <w:p w14:paraId="4FF77D2B" w14:textId="77777777" w:rsidR="00B41324" w:rsidRPr="005028C6" w:rsidRDefault="00B41324" w:rsidP="00B41324">
      <w:pPr>
        <w:tabs>
          <w:tab w:val="left" w:pos="7230"/>
        </w:tabs>
        <w:ind w:firstLine="567"/>
        <w:jc w:val="both"/>
        <w:rPr>
          <w:rFonts w:asciiTheme="minorHAnsi" w:hAnsiTheme="minorHAnsi" w:cstheme="minorHAnsi"/>
          <w:sz w:val="22"/>
          <w:szCs w:val="22"/>
          <w:lang w:val="en-US"/>
        </w:rPr>
      </w:pPr>
      <w:proofErr w:type="spellStart"/>
      <w:r w:rsidRPr="005028C6">
        <w:rPr>
          <w:rFonts w:asciiTheme="minorHAnsi" w:hAnsiTheme="minorHAnsi" w:cstheme="minorHAnsi"/>
          <w:sz w:val="22"/>
          <w:szCs w:val="22"/>
          <w:lang w:val="en-US"/>
        </w:rPr>
        <w:t>O’connor</w:t>
      </w:r>
      <w:proofErr w:type="spellEnd"/>
      <w:r w:rsidRPr="005028C6">
        <w:rPr>
          <w:rFonts w:asciiTheme="minorHAnsi" w:hAnsiTheme="minorHAnsi" w:cstheme="minorHAnsi"/>
          <w:sz w:val="22"/>
          <w:szCs w:val="22"/>
          <w:lang w:val="en-US"/>
        </w:rPr>
        <w:t xml:space="preserve">, B.P. SPSS and SAS programs for determining the number of components using parallel analysis and </w:t>
      </w:r>
      <w:proofErr w:type="spellStart"/>
      <w:r w:rsidRPr="005028C6">
        <w:rPr>
          <w:rFonts w:asciiTheme="minorHAnsi" w:hAnsiTheme="minorHAnsi" w:cstheme="minorHAnsi"/>
          <w:sz w:val="22"/>
          <w:szCs w:val="22"/>
          <w:lang w:val="en-US"/>
        </w:rPr>
        <w:t>Velicer’s</w:t>
      </w:r>
      <w:proofErr w:type="spellEnd"/>
      <w:r w:rsidRPr="005028C6">
        <w:rPr>
          <w:rFonts w:asciiTheme="minorHAnsi" w:hAnsiTheme="minorHAnsi" w:cstheme="minorHAnsi"/>
          <w:sz w:val="22"/>
          <w:szCs w:val="22"/>
          <w:lang w:val="en-US"/>
        </w:rPr>
        <w:t xml:space="preserve"> MAP test. </w:t>
      </w:r>
      <w:r w:rsidRPr="005028C6">
        <w:rPr>
          <w:rFonts w:asciiTheme="minorHAnsi" w:hAnsiTheme="minorHAnsi" w:cstheme="minorHAnsi"/>
          <w:i/>
          <w:iCs/>
          <w:sz w:val="22"/>
          <w:szCs w:val="22"/>
          <w:lang w:val="en-US"/>
        </w:rPr>
        <w:t>Behavior Research Methods, Instruments, &amp; Computers</w:t>
      </w:r>
      <w:r w:rsidRPr="005028C6">
        <w:rPr>
          <w:rFonts w:asciiTheme="minorHAnsi" w:hAnsiTheme="minorHAnsi" w:cstheme="minorHAnsi"/>
          <w:sz w:val="22"/>
          <w:szCs w:val="22"/>
          <w:lang w:val="en-US"/>
        </w:rPr>
        <w:t xml:space="preserve"> </w:t>
      </w:r>
      <w:r w:rsidRPr="005028C6">
        <w:rPr>
          <w:rFonts w:asciiTheme="minorHAnsi" w:hAnsiTheme="minorHAnsi" w:cstheme="minorHAnsi"/>
          <w:b/>
          <w:bCs/>
          <w:sz w:val="22"/>
          <w:szCs w:val="22"/>
          <w:lang w:val="en-US"/>
        </w:rPr>
        <w:t>32</w:t>
      </w:r>
      <w:r w:rsidRPr="005028C6">
        <w:rPr>
          <w:rFonts w:asciiTheme="minorHAnsi" w:hAnsiTheme="minorHAnsi" w:cstheme="minorHAnsi"/>
          <w:sz w:val="22"/>
          <w:szCs w:val="22"/>
          <w:lang w:val="en-US"/>
        </w:rPr>
        <w:t xml:space="preserve">, 396–402 (2000). </w:t>
      </w:r>
      <w:hyperlink r:id="rId37" w:history="1">
        <w:r w:rsidRPr="005028C6">
          <w:rPr>
            <w:rStyle w:val="-"/>
            <w:rFonts w:asciiTheme="minorHAnsi" w:hAnsiTheme="minorHAnsi" w:cstheme="minorHAnsi"/>
            <w:sz w:val="22"/>
            <w:szCs w:val="22"/>
            <w:lang w:val="en-US"/>
          </w:rPr>
          <w:t>https://doi.org/10.3758/BF03200807</w:t>
        </w:r>
      </w:hyperlink>
      <w:r w:rsidRPr="005028C6">
        <w:rPr>
          <w:rFonts w:asciiTheme="minorHAnsi" w:hAnsiTheme="minorHAnsi" w:cstheme="minorHAnsi"/>
          <w:sz w:val="22"/>
          <w:szCs w:val="22"/>
          <w:lang w:val="en-US"/>
        </w:rPr>
        <w:t>.</w:t>
      </w:r>
    </w:p>
    <w:p w14:paraId="6489B150" w14:textId="77777777" w:rsidR="00B41324" w:rsidRPr="005028C6" w:rsidRDefault="00B41324" w:rsidP="00B41324">
      <w:pPr>
        <w:ind w:firstLine="720"/>
        <w:jc w:val="both"/>
        <w:rPr>
          <w:rFonts w:asciiTheme="minorHAnsi" w:hAnsiTheme="minorHAnsi" w:cstheme="minorHAnsi"/>
          <w:bCs/>
          <w:sz w:val="22"/>
          <w:szCs w:val="22"/>
          <w:lang w:val="en-US"/>
        </w:rPr>
      </w:pPr>
      <w:r w:rsidRPr="005028C6">
        <w:rPr>
          <w:rFonts w:asciiTheme="minorHAnsi" w:hAnsiTheme="minorHAnsi" w:cstheme="minorHAnsi"/>
          <w:sz w:val="22"/>
          <w:szCs w:val="22"/>
          <w:lang w:val="en-US" w:eastAsia="el-GR"/>
        </w:rPr>
        <w:t xml:space="preserve">Oliver, M. (1990). Critical texts in social work and the welfare state the politics of disablement. </w:t>
      </w:r>
      <w:proofErr w:type="spellStart"/>
      <w:r w:rsidRPr="005028C6">
        <w:rPr>
          <w:rFonts w:asciiTheme="minorHAnsi" w:hAnsiTheme="minorHAnsi" w:cstheme="minorHAnsi"/>
          <w:i/>
          <w:iCs/>
          <w:sz w:val="22"/>
          <w:szCs w:val="22"/>
          <w:lang w:val="en-US" w:eastAsia="el-GR"/>
        </w:rPr>
        <w:t>Recuperado</w:t>
      </w:r>
      <w:proofErr w:type="spellEnd"/>
      <w:r w:rsidRPr="005028C6">
        <w:rPr>
          <w:rFonts w:asciiTheme="minorHAnsi" w:hAnsiTheme="minorHAnsi" w:cstheme="minorHAnsi"/>
          <w:i/>
          <w:iCs/>
          <w:sz w:val="22"/>
          <w:szCs w:val="22"/>
          <w:lang w:val="en-US" w:eastAsia="el-GR"/>
        </w:rPr>
        <w:t xml:space="preserve"> de https://disability-studies. </w:t>
      </w:r>
      <w:proofErr w:type="spellStart"/>
      <w:r w:rsidRPr="005028C6">
        <w:rPr>
          <w:rFonts w:asciiTheme="minorHAnsi" w:hAnsiTheme="minorHAnsi" w:cstheme="minorHAnsi"/>
          <w:i/>
          <w:iCs/>
          <w:sz w:val="22"/>
          <w:szCs w:val="22"/>
          <w:lang w:val="en-US" w:eastAsia="el-GR"/>
        </w:rPr>
        <w:t>leeds</w:t>
      </w:r>
      <w:proofErr w:type="spellEnd"/>
      <w:r w:rsidRPr="005028C6">
        <w:rPr>
          <w:rFonts w:asciiTheme="minorHAnsi" w:hAnsiTheme="minorHAnsi" w:cstheme="minorHAnsi"/>
          <w:i/>
          <w:iCs/>
          <w:sz w:val="22"/>
          <w:szCs w:val="22"/>
          <w:lang w:val="en-US" w:eastAsia="el-GR"/>
        </w:rPr>
        <w:t xml:space="preserve">. ac. </w:t>
      </w:r>
      <w:proofErr w:type="spellStart"/>
      <w:r w:rsidRPr="005028C6">
        <w:rPr>
          <w:rFonts w:asciiTheme="minorHAnsi" w:hAnsiTheme="minorHAnsi" w:cstheme="minorHAnsi"/>
          <w:i/>
          <w:iCs/>
          <w:sz w:val="22"/>
          <w:szCs w:val="22"/>
          <w:lang w:val="en-US" w:eastAsia="el-GR"/>
        </w:rPr>
        <w:t>Uk</w:t>
      </w:r>
      <w:proofErr w:type="spellEnd"/>
      <w:r w:rsidRPr="005028C6">
        <w:rPr>
          <w:rFonts w:asciiTheme="minorHAnsi" w:hAnsiTheme="minorHAnsi" w:cstheme="minorHAnsi"/>
          <w:i/>
          <w:iCs/>
          <w:sz w:val="22"/>
          <w:szCs w:val="22"/>
          <w:lang w:val="en-US" w:eastAsia="el-GR"/>
        </w:rPr>
        <w:t>/library</w:t>
      </w:r>
      <w:r w:rsidRPr="005028C6">
        <w:rPr>
          <w:rFonts w:asciiTheme="minorHAnsi" w:hAnsiTheme="minorHAnsi" w:cstheme="minorHAnsi"/>
          <w:sz w:val="22"/>
          <w:szCs w:val="22"/>
          <w:lang w:val="en-US" w:eastAsia="el-GR"/>
        </w:rPr>
        <w:t>.</w:t>
      </w:r>
    </w:p>
    <w:p w14:paraId="116429F9" w14:textId="77777777" w:rsidR="00B41324" w:rsidRPr="005028C6" w:rsidRDefault="00B41324" w:rsidP="00B41324">
      <w:pPr>
        <w:pStyle w:val="1"/>
        <w:tabs>
          <w:tab w:val="left" w:pos="7230"/>
        </w:tabs>
        <w:ind w:left="0" w:firstLine="567"/>
        <w:rPr>
          <w:rFonts w:asciiTheme="minorHAnsi" w:hAnsiTheme="minorHAnsi" w:cstheme="minorHAnsi"/>
          <w:sz w:val="22"/>
          <w:szCs w:val="22"/>
          <w:lang w:val="en-US"/>
        </w:rPr>
      </w:pPr>
      <w:r w:rsidRPr="005028C6">
        <w:rPr>
          <w:rFonts w:asciiTheme="minorHAnsi" w:hAnsiTheme="minorHAnsi" w:cstheme="minorHAnsi"/>
          <w:sz w:val="22"/>
          <w:szCs w:val="22"/>
          <w:lang w:val="en-US"/>
        </w:rPr>
        <w:t xml:space="preserve">Palmer, S. B., &amp; </w:t>
      </w:r>
      <w:proofErr w:type="spellStart"/>
      <w:r w:rsidRPr="005028C6">
        <w:rPr>
          <w:rFonts w:asciiTheme="minorHAnsi" w:hAnsiTheme="minorHAnsi" w:cstheme="minorHAnsi"/>
          <w:sz w:val="22"/>
          <w:szCs w:val="22"/>
          <w:lang w:val="en-US"/>
        </w:rPr>
        <w:t>Wehmeyer</w:t>
      </w:r>
      <w:proofErr w:type="spellEnd"/>
      <w:r w:rsidRPr="005028C6">
        <w:rPr>
          <w:rFonts w:asciiTheme="minorHAnsi" w:hAnsiTheme="minorHAnsi" w:cstheme="minorHAnsi"/>
          <w:sz w:val="22"/>
          <w:szCs w:val="22"/>
          <w:lang w:val="en-US"/>
        </w:rPr>
        <w:t xml:space="preserve">, M. L. (2003). Adult outcomes for students with cognitive disabilities three-years after high school: The impact of self-determination. </w:t>
      </w:r>
      <w:r w:rsidRPr="005028C6">
        <w:rPr>
          <w:rFonts w:asciiTheme="minorHAnsi" w:hAnsiTheme="minorHAnsi" w:cstheme="minorHAnsi"/>
          <w:i/>
          <w:sz w:val="22"/>
          <w:szCs w:val="22"/>
          <w:lang w:val="en-US"/>
        </w:rPr>
        <w:t>Education and Training in Developmental Disabilities,</w:t>
      </w:r>
      <w:r w:rsidRPr="005028C6">
        <w:rPr>
          <w:rFonts w:asciiTheme="minorHAnsi" w:hAnsiTheme="minorHAnsi" w:cstheme="minorHAnsi"/>
          <w:sz w:val="22"/>
          <w:szCs w:val="22"/>
          <w:lang w:val="en-US"/>
        </w:rPr>
        <w:t xml:space="preserve"> </w:t>
      </w:r>
      <w:r w:rsidRPr="005028C6">
        <w:rPr>
          <w:rFonts w:asciiTheme="minorHAnsi" w:hAnsiTheme="minorHAnsi" w:cstheme="minorHAnsi"/>
          <w:i/>
          <w:sz w:val="22"/>
          <w:szCs w:val="22"/>
          <w:lang w:val="en-US"/>
        </w:rPr>
        <w:t>38</w:t>
      </w:r>
      <w:r w:rsidRPr="005028C6">
        <w:rPr>
          <w:rFonts w:asciiTheme="minorHAnsi" w:hAnsiTheme="minorHAnsi" w:cstheme="minorHAnsi"/>
          <w:sz w:val="22"/>
          <w:szCs w:val="22"/>
          <w:lang w:val="en-US"/>
        </w:rPr>
        <w:t xml:space="preserve">(2),131–144. </w:t>
      </w:r>
      <w:hyperlink r:id="rId38" w:history="1">
        <w:r w:rsidRPr="005028C6">
          <w:rPr>
            <w:rStyle w:val="-"/>
            <w:rFonts w:asciiTheme="minorHAnsi" w:hAnsiTheme="minorHAnsi" w:cstheme="minorHAnsi"/>
            <w:sz w:val="22"/>
            <w:szCs w:val="22"/>
            <w:lang w:val="en-US"/>
          </w:rPr>
          <w:t>https://www.jstor.org/stable/23879591</w:t>
        </w:r>
      </w:hyperlink>
      <w:r w:rsidRPr="005028C6">
        <w:rPr>
          <w:rFonts w:asciiTheme="minorHAnsi" w:hAnsiTheme="minorHAnsi" w:cstheme="minorHAnsi"/>
          <w:sz w:val="22"/>
          <w:szCs w:val="22"/>
          <w:lang w:val="en-US"/>
        </w:rPr>
        <w:t xml:space="preserve">. </w:t>
      </w:r>
    </w:p>
    <w:p w14:paraId="4AAAFC1D" w14:textId="77777777" w:rsidR="00B41324" w:rsidRPr="005028C6" w:rsidRDefault="00B41324" w:rsidP="00B41324">
      <w:pPr>
        <w:ind w:firstLine="720"/>
        <w:jc w:val="both"/>
        <w:rPr>
          <w:rFonts w:asciiTheme="minorHAnsi" w:hAnsiTheme="minorHAnsi" w:cstheme="minorHAnsi"/>
          <w:sz w:val="22"/>
          <w:szCs w:val="22"/>
          <w:lang w:val="en-US"/>
        </w:rPr>
      </w:pPr>
      <w:r w:rsidRPr="005028C6">
        <w:rPr>
          <w:rFonts w:asciiTheme="minorHAnsi" w:hAnsiTheme="minorHAnsi" w:cstheme="minorHAnsi"/>
          <w:sz w:val="22"/>
          <w:szCs w:val="22"/>
          <w:lang w:val="en-US"/>
        </w:rPr>
        <w:t xml:space="preserve">Petry, K., </w:t>
      </w:r>
      <w:proofErr w:type="spellStart"/>
      <w:r w:rsidRPr="005028C6">
        <w:rPr>
          <w:rFonts w:asciiTheme="minorHAnsi" w:hAnsiTheme="minorHAnsi" w:cstheme="minorHAnsi"/>
          <w:sz w:val="22"/>
          <w:szCs w:val="22"/>
          <w:lang w:val="en-US"/>
        </w:rPr>
        <w:t>Maes</w:t>
      </w:r>
      <w:proofErr w:type="spellEnd"/>
      <w:r w:rsidRPr="005028C6">
        <w:rPr>
          <w:rFonts w:asciiTheme="minorHAnsi" w:hAnsiTheme="minorHAnsi" w:cstheme="minorHAnsi"/>
          <w:sz w:val="22"/>
          <w:szCs w:val="22"/>
          <w:lang w:val="en-US"/>
        </w:rPr>
        <w:t xml:space="preserve">, B., &amp; </w:t>
      </w:r>
      <w:proofErr w:type="spellStart"/>
      <w:r w:rsidRPr="005028C6">
        <w:rPr>
          <w:rFonts w:asciiTheme="minorHAnsi" w:hAnsiTheme="minorHAnsi" w:cstheme="minorHAnsi"/>
          <w:sz w:val="22"/>
          <w:szCs w:val="22"/>
          <w:lang w:val="en-US"/>
        </w:rPr>
        <w:t>Vlaskamp</w:t>
      </w:r>
      <w:proofErr w:type="spellEnd"/>
      <w:r w:rsidRPr="005028C6">
        <w:rPr>
          <w:rFonts w:asciiTheme="minorHAnsi" w:hAnsiTheme="minorHAnsi" w:cstheme="minorHAnsi"/>
          <w:sz w:val="22"/>
          <w:szCs w:val="22"/>
          <w:lang w:val="en-US"/>
        </w:rPr>
        <w:t xml:space="preserve">, C. (2005). Domains of quality of life of people with profound multiple disabilities: The perspective of parents and direct support staff. </w:t>
      </w:r>
      <w:r w:rsidRPr="005028C6">
        <w:rPr>
          <w:rStyle w:val="citationsource-journal"/>
          <w:rFonts w:asciiTheme="minorHAnsi" w:hAnsiTheme="minorHAnsi" w:cstheme="minorHAnsi"/>
          <w:i/>
          <w:iCs/>
          <w:sz w:val="22"/>
          <w:szCs w:val="22"/>
          <w:lang w:val="en-US"/>
        </w:rPr>
        <w:t>Journal of Applied Research in Intellectual Disabilities</w:t>
      </w:r>
      <w:r w:rsidRPr="005028C6">
        <w:rPr>
          <w:rFonts w:asciiTheme="minorHAnsi" w:hAnsiTheme="minorHAnsi" w:cstheme="minorHAnsi"/>
          <w:sz w:val="22"/>
          <w:szCs w:val="22"/>
          <w:lang w:val="en-US"/>
        </w:rPr>
        <w:t xml:space="preserve">, </w:t>
      </w:r>
      <w:r w:rsidRPr="005028C6">
        <w:rPr>
          <w:rFonts w:asciiTheme="minorHAnsi" w:hAnsiTheme="minorHAnsi" w:cstheme="minorHAnsi"/>
          <w:i/>
          <w:iCs/>
          <w:sz w:val="22"/>
          <w:szCs w:val="22"/>
          <w:lang w:val="en-US"/>
        </w:rPr>
        <w:t>18</w:t>
      </w:r>
      <w:r w:rsidRPr="005028C6">
        <w:rPr>
          <w:rFonts w:asciiTheme="minorHAnsi" w:hAnsiTheme="minorHAnsi" w:cstheme="minorHAnsi"/>
          <w:sz w:val="22"/>
          <w:szCs w:val="22"/>
          <w:lang w:val="en-US"/>
        </w:rPr>
        <w:t xml:space="preserve">, 35–46. http://dx.doi.org/10.1111/j.1468-3148.2004.00209.x </w:t>
      </w:r>
    </w:p>
    <w:p w14:paraId="1C96C964" w14:textId="77777777" w:rsidR="00B41324" w:rsidRPr="005028C6" w:rsidRDefault="00B41324" w:rsidP="00B41324">
      <w:pPr>
        <w:ind w:firstLine="720"/>
        <w:jc w:val="both"/>
        <w:rPr>
          <w:rFonts w:asciiTheme="minorHAnsi" w:hAnsiTheme="minorHAnsi" w:cstheme="minorHAnsi"/>
          <w:sz w:val="22"/>
          <w:szCs w:val="22"/>
          <w:lang w:val="en-US"/>
        </w:rPr>
      </w:pPr>
      <w:proofErr w:type="spellStart"/>
      <w:r w:rsidRPr="005028C6">
        <w:rPr>
          <w:rFonts w:asciiTheme="minorHAnsi" w:hAnsiTheme="minorHAnsi" w:cstheme="minorHAnsi"/>
          <w:sz w:val="22"/>
          <w:szCs w:val="22"/>
          <w:lang w:val="en-US"/>
        </w:rPr>
        <w:t>Rioux</w:t>
      </w:r>
      <w:proofErr w:type="spellEnd"/>
      <w:r w:rsidRPr="005028C6">
        <w:rPr>
          <w:rFonts w:asciiTheme="minorHAnsi" w:hAnsiTheme="minorHAnsi" w:cstheme="minorHAnsi"/>
          <w:sz w:val="22"/>
          <w:szCs w:val="22"/>
          <w:lang w:val="en-US"/>
        </w:rPr>
        <w:t xml:space="preserve">, M., &amp; </w:t>
      </w:r>
      <w:proofErr w:type="spellStart"/>
      <w:r w:rsidRPr="005028C6">
        <w:rPr>
          <w:rFonts w:asciiTheme="minorHAnsi" w:hAnsiTheme="minorHAnsi" w:cstheme="minorHAnsi"/>
          <w:sz w:val="22"/>
          <w:szCs w:val="22"/>
          <w:lang w:val="en-US"/>
        </w:rPr>
        <w:t>Carbert</w:t>
      </w:r>
      <w:proofErr w:type="spellEnd"/>
      <w:r w:rsidRPr="005028C6">
        <w:rPr>
          <w:rFonts w:asciiTheme="minorHAnsi" w:hAnsiTheme="minorHAnsi" w:cstheme="minorHAnsi"/>
          <w:sz w:val="22"/>
          <w:szCs w:val="22"/>
          <w:lang w:val="en-US"/>
        </w:rPr>
        <w:t>, A. (2003). Human Rights and Disability: The International Context.  Toronto: Cornell University ILR School.</w:t>
      </w:r>
    </w:p>
    <w:p w14:paraId="5FB8C789" w14:textId="77777777" w:rsidR="00B41324" w:rsidRPr="005028C6" w:rsidRDefault="00B41324" w:rsidP="00B41324">
      <w:pPr>
        <w:tabs>
          <w:tab w:val="left" w:pos="7230"/>
        </w:tabs>
        <w:ind w:firstLine="567"/>
        <w:jc w:val="both"/>
        <w:rPr>
          <w:rFonts w:asciiTheme="minorHAnsi" w:hAnsiTheme="minorHAnsi" w:cstheme="minorHAnsi"/>
          <w:sz w:val="22"/>
          <w:szCs w:val="22"/>
          <w:lang w:val="en-US" w:eastAsia="el-GR"/>
        </w:rPr>
      </w:pPr>
      <w:r w:rsidRPr="005028C6">
        <w:rPr>
          <w:rFonts w:asciiTheme="minorHAnsi" w:hAnsiTheme="minorHAnsi" w:cstheme="minorHAnsi"/>
          <w:sz w:val="22"/>
          <w:szCs w:val="22"/>
          <w:lang w:val="en-US" w:eastAsia="el-GR"/>
        </w:rPr>
        <w:t xml:space="preserve">Robinson, S., &amp; Idle, J. (2022). Loneliness and how to counter it: People with intellectual disability share their experiences and ideas. </w:t>
      </w:r>
      <w:r w:rsidRPr="005028C6">
        <w:rPr>
          <w:rFonts w:asciiTheme="minorHAnsi" w:hAnsiTheme="minorHAnsi" w:cstheme="minorHAnsi"/>
          <w:i/>
          <w:iCs/>
          <w:sz w:val="22"/>
          <w:szCs w:val="22"/>
          <w:lang w:val="en-US" w:eastAsia="el-GR"/>
        </w:rPr>
        <w:t>Journal of Intellectual &amp; Developmental Disability</w:t>
      </w:r>
      <w:r w:rsidRPr="005028C6">
        <w:rPr>
          <w:rFonts w:asciiTheme="minorHAnsi" w:hAnsiTheme="minorHAnsi" w:cstheme="minorHAnsi"/>
          <w:sz w:val="22"/>
          <w:szCs w:val="22"/>
          <w:lang w:val="en-US" w:eastAsia="el-GR"/>
        </w:rPr>
        <w:t xml:space="preserve">, </w:t>
      </w:r>
      <w:r w:rsidRPr="005028C6">
        <w:rPr>
          <w:rFonts w:asciiTheme="minorHAnsi" w:hAnsiTheme="minorHAnsi" w:cstheme="minorHAnsi"/>
          <w:i/>
          <w:iCs/>
          <w:sz w:val="22"/>
          <w:szCs w:val="22"/>
          <w:lang w:val="en-US" w:eastAsia="el-GR"/>
        </w:rPr>
        <w:t>48</w:t>
      </w:r>
      <w:r w:rsidRPr="005028C6">
        <w:rPr>
          <w:rFonts w:asciiTheme="minorHAnsi" w:hAnsiTheme="minorHAnsi" w:cstheme="minorHAnsi"/>
          <w:sz w:val="22"/>
          <w:szCs w:val="22"/>
          <w:lang w:val="en-US" w:eastAsia="el-GR"/>
        </w:rPr>
        <w:t xml:space="preserve">(1), 58–70. </w:t>
      </w:r>
      <w:hyperlink r:id="rId39" w:history="1">
        <w:r w:rsidRPr="005028C6">
          <w:rPr>
            <w:rStyle w:val="-"/>
            <w:rFonts w:asciiTheme="minorHAnsi" w:hAnsiTheme="minorHAnsi" w:cstheme="minorHAnsi"/>
            <w:sz w:val="22"/>
            <w:szCs w:val="22"/>
            <w:lang w:val="en-US" w:eastAsia="el-GR"/>
          </w:rPr>
          <w:t>https://doi.org/10.3109/13668250.2022.2112510</w:t>
        </w:r>
      </w:hyperlink>
      <w:r w:rsidRPr="005028C6">
        <w:rPr>
          <w:rFonts w:asciiTheme="minorHAnsi" w:hAnsiTheme="minorHAnsi" w:cstheme="minorHAnsi"/>
          <w:sz w:val="22"/>
          <w:szCs w:val="22"/>
          <w:lang w:val="en-US" w:eastAsia="el-GR"/>
        </w:rPr>
        <w:t>.</w:t>
      </w:r>
    </w:p>
    <w:p w14:paraId="4ECBB42D" w14:textId="77777777" w:rsidR="00B41324" w:rsidRPr="005028C6" w:rsidRDefault="00B41324" w:rsidP="00B41324">
      <w:pPr>
        <w:ind w:firstLine="720"/>
        <w:jc w:val="both"/>
        <w:rPr>
          <w:rFonts w:asciiTheme="minorHAnsi" w:hAnsiTheme="minorHAnsi" w:cstheme="minorHAnsi"/>
          <w:sz w:val="22"/>
          <w:szCs w:val="22"/>
          <w:lang w:val="en-US"/>
        </w:rPr>
      </w:pPr>
      <w:r w:rsidRPr="005028C6">
        <w:rPr>
          <w:rFonts w:asciiTheme="minorHAnsi" w:hAnsiTheme="minorHAnsi" w:cstheme="minorHAnsi"/>
          <w:sz w:val="22"/>
          <w:szCs w:val="22"/>
          <w:lang w:val="en-US"/>
        </w:rPr>
        <w:t xml:space="preserve">Scott, H. M., &amp; </w:t>
      </w:r>
      <w:proofErr w:type="spellStart"/>
      <w:r w:rsidRPr="005028C6">
        <w:rPr>
          <w:rFonts w:asciiTheme="minorHAnsi" w:hAnsiTheme="minorHAnsi" w:cstheme="minorHAnsi"/>
          <w:sz w:val="22"/>
          <w:szCs w:val="22"/>
          <w:lang w:val="en-US"/>
        </w:rPr>
        <w:t>Havercamp</w:t>
      </w:r>
      <w:proofErr w:type="spellEnd"/>
      <w:r w:rsidRPr="005028C6">
        <w:rPr>
          <w:rFonts w:asciiTheme="minorHAnsi" w:hAnsiTheme="minorHAnsi" w:cstheme="minorHAnsi"/>
          <w:sz w:val="22"/>
          <w:szCs w:val="22"/>
          <w:lang w:val="en-US"/>
        </w:rPr>
        <w:t xml:space="preserve">, S. M. (2014). Mental health for people with intellectual disability: The impact of stress and social support. </w:t>
      </w:r>
      <w:r w:rsidRPr="005028C6">
        <w:rPr>
          <w:rStyle w:val="citationsource-journal"/>
          <w:rFonts w:asciiTheme="minorHAnsi" w:hAnsiTheme="minorHAnsi" w:cstheme="minorHAnsi"/>
          <w:i/>
          <w:iCs/>
          <w:sz w:val="22"/>
          <w:szCs w:val="22"/>
          <w:lang w:val="en-US"/>
        </w:rPr>
        <w:t>American Journal on Intellectual and Developmental Disabilities</w:t>
      </w:r>
      <w:r w:rsidRPr="005028C6">
        <w:rPr>
          <w:rFonts w:asciiTheme="minorHAnsi" w:hAnsiTheme="minorHAnsi" w:cstheme="minorHAnsi"/>
          <w:sz w:val="22"/>
          <w:szCs w:val="22"/>
          <w:lang w:val="en-US"/>
        </w:rPr>
        <w:t xml:space="preserve">, </w:t>
      </w:r>
      <w:r w:rsidRPr="005028C6">
        <w:rPr>
          <w:rFonts w:asciiTheme="minorHAnsi" w:hAnsiTheme="minorHAnsi" w:cstheme="minorHAnsi"/>
          <w:i/>
          <w:iCs/>
          <w:sz w:val="22"/>
          <w:szCs w:val="22"/>
          <w:lang w:val="en-US"/>
        </w:rPr>
        <w:t>119</w:t>
      </w:r>
      <w:r w:rsidRPr="005028C6">
        <w:rPr>
          <w:rFonts w:asciiTheme="minorHAnsi" w:hAnsiTheme="minorHAnsi" w:cstheme="minorHAnsi"/>
          <w:sz w:val="22"/>
          <w:szCs w:val="22"/>
          <w:lang w:val="en-US"/>
        </w:rPr>
        <w:t xml:space="preserve">(6), 552–564. </w:t>
      </w:r>
      <w:hyperlink r:id="rId40" w:history="1">
        <w:r w:rsidRPr="005028C6">
          <w:rPr>
            <w:rStyle w:val="-"/>
            <w:rFonts w:asciiTheme="minorHAnsi" w:hAnsiTheme="minorHAnsi" w:cstheme="minorHAnsi"/>
            <w:sz w:val="22"/>
            <w:szCs w:val="22"/>
            <w:lang w:val="en-US"/>
          </w:rPr>
          <w:t>http://dx.doi.org/10.1352/1944-7558-119.6.552</w:t>
        </w:r>
      </w:hyperlink>
      <w:r w:rsidRPr="005028C6">
        <w:rPr>
          <w:rFonts w:asciiTheme="minorHAnsi" w:hAnsiTheme="minorHAnsi" w:cstheme="minorHAnsi"/>
          <w:sz w:val="22"/>
          <w:szCs w:val="22"/>
          <w:lang w:val="en-US"/>
        </w:rPr>
        <w:t xml:space="preserve">.  </w:t>
      </w:r>
    </w:p>
    <w:p w14:paraId="77CC0147" w14:textId="77777777" w:rsidR="00B41324" w:rsidRPr="005028C6" w:rsidRDefault="00B41324" w:rsidP="00B41324">
      <w:pPr>
        <w:tabs>
          <w:tab w:val="left" w:pos="7230"/>
        </w:tabs>
        <w:ind w:firstLine="567"/>
        <w:jc w:val="both"/>
        <w:rPr>
          <w:rFonts w:asciiTheme="minorHAnsi" w:hAnsiTheme="minorHAnsi" w:cstheme="minorHAnsi"/>
          <w:sz w:val="22"/>
          <w:szCs w:val="22"/>
          <w:lang w:val="en-US"/>
        </w:rPr>
      </w:pPr>
      <w:r w:rsidRPr="005028C6">
        <w:rPr>
          <w:rFonts w:asciiTheme="minorHAnsi" w:hAnsiTheme="minorHAnsi" w:cstheme="minorHAnsi"/>
          <w:sz w:val="22"/>
          <w:szCs w:val="22"/>
          <w:lang w:val="en-US"/>
        </w:rPr>
        <w:t xml:space="preserve">Segars, A. (1997). Assessing the </w:t>
      </w:r>
      <w:proofErr w:type="spellStart"/>
      <w:r w:rsidRPr="005028C6">
        <w:rPr>
          <w:rFonts w:asciiTheme="minorHAnsi" w:hAnsiTheme="minorHAnsi" w:cstheme="minorHAnsi"/>
          <w:sz w:val="22"/>
          <w:szCs w:val="22"/>
          <w:lang w:val="en-US"/>
        </w:rPr>
        <w:t>Unidimensionality</w:t>
      </w:r>
      <w:proofErr w:type="spellEnd"/>
      <w:r w:rsidRPr="005028C6">
        <w:rPr>
          <w:rFonts w:asciiTheme="minorHAnsi" w:hAnsiTheme="minorHAnsi" w:cstheme="minorHAnsi"/>
          <w:sz w:val="22"/>
          <w:szCs w:val="22"/>
          <w:lang w:val="en-US"/>
        </w:rPr>
        <w:t xml:space="preserve"> of Measurement: a Paradigm and Illustration Within the Context of Information Systems Research, Omega, </w:t>
      </w:r>
      <w:r w:rsidRPr="005028C6">
        <w:rPr>
          <w:rFonts w:asciiTheme="minorHAnsi" w:hAnsiTheme="minorHAnsi" w:cstheme="minorHAnsi"/>
          <w:i/>
          <w:sz w:val="22"/>
          <w:szCs w:val="22"/>
          <w:lang w:val="en-US"/>
        </w:rPr>
        <w:t xml:space="preserve">The International </w:t>
      </w:r>
      <w:r w:rsidRPr="005028C6">
        <w:rPr>
          <w:rFonts w:asciiTheme="minorHAnsi" w:hAnsiTheme="minorHAnsi" w:cstheme="minorHAnsi"/>
          <w:i/>
          <w:sz w:val="22"/>
          <w:szCs w:val="22"/>
          <w:lang w:val="en-US"/>
        </w:rPr>
        <w:lastRenderedPageBreak/>
        <w:t>Journal of Management Science, 25</w:t>
      </w:r>
      <w:r w:rsidRPr="005028C6">
        <w:rPr>
          <w:rFonts w:asciiTheme="minorHAnsi" w:hAnsiTheme="minorHAnsi" w:cstheme="minorHAnsi"/>
          <w:sz w:val="22"/>
          <w:szCs w:val="22"/>
          <w:lang w:val="en-US"/>
        </w:rPr>
        <w:t xml:space="preserve">(1), 107-121. </w:t>
      </w:r>
      <w:hyperlink r:id="rId41" w:history="1">
        <w:r w:rsidRPr="005028C6">
          <w:rPr>
            <w:rStyle w:val="-"/>
            <w:rFonts w:asciiTheme="minorHAnsi" w:hAnsiTheme="minorHAnsi" w:cstheme="minorHAnsi"/>
            <w:sz w:val="22"/>
            <w:szCs w:val="22"/>
            <w:lang w:val="en-US"/>
          </w:rPr>
          <w:t>https://doi.org/10.1016/S0305-0483(96)00051-5</w:t>
        </w:r>
      </w:hyperlink>
      <w:r w:rsidRPr="005028C6">
        <w:rPr>
          <w:rFonts w:asciiTheme="minorHAnsi" w:hAnsiTheme="minorHAnsi" w:cstheme="minorHAnsi"/>
          <w:sz w:val="22"/>
          <w:szCs w:val="22"/>
          <w:lang w:val="en-US"/>
        </w:rPr>
        <w:t xml:space="preserve">. </w:t>
      </w:r>
    </w:p>
    <w:p w14:paraId="685A0650" w14:textId="77777777" w:rsidR="00B41324" w:rsidRPr="005028C6" w:rsidRDefault="00B41324" w:rsidP="00B41324">
      <w:pPr>
        <w:tabs>
          <w:tab w:val="left" w:pos="7230"/>
        </w:tabs>
        <w:ind w:firstLine="567"/>
        <w:jc w:val="both"/>
        <w:rPr>
          <w:rStyle w:val="-"/>
          <w:rFonts w:asciiTheme="minorHAnsi" w:hAnsiTheme="minorHAnsi" w:cstheme="minorHAnsi"/>
          <w:sz w:val="22"/>
          <w:szCs w:val="22"/>
          <w:lang w:val="en-US"/>
        </w:rPr>
      </w:pPr>
      <w:r w:rsidRPr="005028C6">
        <w:rPr>
          <w:rFonts w:asciiTheme="minorHAnsi" w:hAnsiTheme="minorHAnsi" w:cstheme="minorHAnsi"/>
          <w:sz w:val="22"/>
          <w:szCs w:val="22"/>
          <w:lang w:val="en-US"/>
        </w:rPr>
        <w:t>Shakespeare, T. (2014</w:t>
      </w:r>
      <w:r w:rsidRPr="005028C6">
        <w:rPr>
          <w:rFonts w:asciiTheme="minorHAnsi" w:hAnsiTheme="minorHAnsi" w:cstheme="minorHAnsi"/>
          <w:bCs/>
          <w:sz w:val="22"/>
          <w:szCs w:val="22"/>
          <w:lang w:val="en-US"/>
        </w:rPr>
        <w:t>)</w:t>
      </w:r>
      <w:r w:rsidRPr="005028C6">
        <w:rPr>
          <w:rFonts w:asciiTheme="minorHAnsi" w:hAnsiTheme="minorHAnsi" w:cstheme="minorHAnsi"/>
          <w:sz w:val="22"/>
          <w:szCs w:val="22"/>
          <w:lang w:val="en-US"/>
        </w:rPr>
        <w:t xml:space="preserve">. </w:t>
      </w:r>
      <w:r w:rsidRPr="005028C6">
        <w:rPr>
          <w:rFonts w:asciiTheme="minorHAnsi" w:hAnsiTheme="minorHAnsi" w:cstheme="minorHAnsi"/>
          <w:i/>
          <w:iCs/>
          <w:sz w:val="22"/>
          <w:szCs w:val="22"/>
          <w:lang w:val="en-US"/>
        </w:rPr>
        <w:t>Disability Rights and Wrongs Revisited</w:t>
      </w:r>
      <w:r w:rsidRPr="005028C6">
        <w:rPr>
          <w:rFonts w:asciiTheme="minorHAnsi" w:hAnsiTheme="minorHAnsi" w:cstheme="minorHAnsi"/>
          <w:sz w:val="22"/>
          <w:szCs w:val="22"/>
          <w:lang w:val="en-US"/>
        </w:rPr>
        <w:t>. Second ed. Abingdon: Routledge.</w:t>
      </w:r>
      <w:r w:rsidRPr="005028C6">
        <w:rPr>
          <w:rFonts w:asciiTheme="minorHAnsi" w:hAnsiTheme="minorHAnsi" w:cstheme="minorHAnsi"/>
          <w:bCs/>
          <w:sz w:val="22"/>
          <w:szCs w:val="22"/>
          <w:lang w:val="en-US"/>
        </w:rPr>
        <w:t xml:space="preserve"> </w:t>
      </w:r>
      <w:hyperlink r:id="rId42" w:history="1">
        <w:r w:rsidRPr="005028C6">
          <w:rPr>
            <w:rStyle w:val="-"/>
            <w:rFonts w:asciiTheme="minorHAnsi" w:hAnsiTheme="minorHAnsi" w:cstheme="minorHAnsi"/>
            <w:sz w:val="22"/>
            <w:szCs w:val="22"/>
            <w:lang w:val="en-US"/>
          </w:rPr>
          <w:t>https://doi.org/10.4324/9781315887456</w:t>
        </w:r>
      </w:hyperlink>
      <w:r w:rsidRPr="005028C6">
        <w:rPr>
          <w:rStyle w:val="-"/>
          <w:rFonts w:asciiTheme="minorHAnsi" w:hAnsiTheme="minorHAnsi" w:cstheme="minorHAnsi"/>
          <w:sz w:val="22"/>
          <w:szCs w:val="22"/>
          <w:lang w:val="en-US"/>
        </w:rPr>
        <w:t xml:space="preserve">. </w:t>
      </w:r>
    </w:p>
    <w:p w14:paraId="60B11F46" w14:textId="77777777" w:rsidR="00B41324" w:rsidRPr="005028C6" w:rsidRDefault="00B41324" w:rsidP="00B41324">
      <w:pPr>
        <w:tabs>
          <w:tab w:val="left" w:pos="7230"/>
        </w:tabs>
        <w:ind w:firstLine="567"/>
        <w:jc w:val="both"/>
        <w:rPr>
          <w:rStyle w:val="-"/>
          <w:rFonts w:asciiTheme="minorHAnsi" w:hAnsiTheme="minorHAnsi" w:cstheme="minorHAnsi"/>
          <w:sz w:val="22"/>
          <w:szCs w:val="22"/>
          <w:lang w:val="en-US"/>
        </w:rPr>
      </w:pPr>
      <w:proofErr w:type="spellStart"/>
      <w:r w:rsidRPr="005028C6">
        <w:rPr>
          <w:rFonts w:asciiTheme="minorHAnsi" w:hAnsiTheme="minorHAnsi" w:cstheme="minorHAnsi"/>
          <w:sz w:val="22"/>
          <w:szCs w:val="22"/>
          <w:lang w:val="en-US"/>
        </w:rPr>
        <w:t>Shogren</w:t>
      </w:r>
      <w:proofErr w:type="spellEnd"/>
      <w:r w:rsidRPr="005028C6">
        <w:rPr>
          <w:rFonts w:asciiTheme="minorHAnsi" w:hAnsiTheme="minorHAnsi" w:cstheme="minorHAnsi"/>
          <w:sz w:val="22"/>
          <w:szCs w:val="22"/>
          <w:lang w:val="en-US"/>
        </w:rPr>
        <w:t xml:space="preserve">, K. A., </w:t>
      </w:r>
      <w:proofErr w:type="spellStart"/>
      <w:r w:rsidRPr="005028C6">
        <w:rPr>
          <w:rFonts w:asciiTheme="minorHAnsi" w:hAnsiTheme="minorHAnsi" w:cstheme="minorHAnsi"/>
          <w:sz w:val="22"/>
          <w:szCs w:val="22"/>
          <w:lang w:val="en-US"/>
        </w:rPr>
        <w:t>Wehmeyer</w:t>
      </w:r>
      <w:proofErr w:type="spellEnd"/>
      <w:r w:rsidRPr="005028C6">
        <w:rPr>
          <w:rFonts w:asciiTheme="minorHAnsi" w:hAnsiTheme="minorHAnsi" w:cstheme="minorHAnsi"/>
          <w:sz w:val="22"/>
          <w:szCs w:val="22"/>
          <w:lang w:val="en-US"/>
        </w:rPr>
        <w:t xml:space="preserve">, M. L., Palmer, S. B., </w:t>
      </w:r>
      <w:proofErr w:type="spellStart"/>
      <w:r w:rsidRPr="005028C6">
        <w:rPr>
          <w:rFonts w:asciiTheme="minorHAnsi" w:hAnsiTheme="minorHAnsi" w:cstheme="minorHAnsi"/>
          <w:sz w:val="22"/>
          <w:szCs w:val="22"/>
          <w:lang w:val="en-US"/>
        </w:rPr>
        <w:t>Rifenbark</w:t>
      </w:r>
      <w:proofErr w:type="spellEnd"/>
      <w:r w:rsidRPr="005028C6">
        <w:rPr>
          <w:rFonts w:asciiTheme="minorHAnsi" w:hAnsiTheme="minorHAnsi" w:cstheme="minorHAnsi"/>
          <w:sz w:val="22"/>
          <w:szCs w:val="22"/>
          <w:lang w:val="en-US"/>
        </w:rPr>
        <w:t xml:space="preserve">, G. G., &amp; Little, T. D. (2015). Relationships between self-determination and postschool outcomes for youth with disabilities. </w:t>
      </w:r>
      <w:r w:rsidRPr="005028C6">
        <w:rPr>
          <w:rFonts w:asciiTheme="minorHAnsi" w:hAnsiTheme="minorHAnsi" w:cstheme="minorHAnsi"/>
          <w:i/>
          <w:sz w:val="22"/>
          <w:szCs w:val="22"/>
          <w:lang w:val="en-US"/>
        </w:rPr>
        <w:t>The Journal of Special Education</w:t>
      </w:r>
      <w:r w:rsidRPr="005028C6">
        <w:rPr>
          <w:rFonts w:asciiTheme="minorHAnsi" w:hAnsiTheme="minorHAnsi" w:cstheme="minorHAnsi"/>
          <w:sz w:val="22"/>
          <w:szCs w:val="22"/>
          <w:lang w:val="en-US"/>
        </w:rPr>
        <w:t xml:space="preserve">, </w:t>
      </w:r>
      <w:r w:rsidRPr="005028C6">
        <w:rPr>
          <w:rFonts w:asciiTheme="minorHAnsi" w:hAnsiTheme="minorHAnsi" w:cstheme="minorHAnsi"/>
          <w:i/>
          <w:sz w:val="22"/>
          <w:szCs w:val="22"/>
          <w:lang w:val="en-US"/>
        </w:rPr>
        <w:t>48</w:t>
      </w:r>
      <w:r w:rsidRPr="005028C6">
        <w:rPr>
          <w:rFonts w:asciiTheme="minorHAnsi" w:hAnsiTheme="minorHAnsi" w:cstheme="minorHAnsi"/>
          <w:sz w:val="22"/>
          <w:szCs w:val="22"/>
          <w:lang w:val="en-US"/>
        </w:rPr>
        <w:t xml:space="preserve">(4), 256–267. </w:t>
      </w:r>
      <w:hyperlink r:id="rId43" w:history="1">
        <w:r w:rsidRPr="005028C6">
          <w:rPr>
            <w:rStyle w:val="-"/>
            <w:rFonts w:asciiTheme="minorHAnsi" w:hAnsiTheme="minorHAnsi" w:cstheme="minorHAnsi"/>
            <w:sz w:val="22"/>
            <w:szCs w:val="22"/>
            <w:lang w:val="en-US"/>
          </w:rPr>
          <w:t>https://doi.org/10.1177/0022466913489733</w:t>
        </w:r>
      </w:hyperlink>
      <w:r w:rsidRPr="005028C6">
        <w:rPr>
          <w:rStyle w:val="-"/>
          <w:rFonts w:asciiTheme="minorHAnsi" w:hAnsiTheme="minorHAnsi" w:cstheme="minorHAnsi"/>
          <w:sz w:val="22"/>
          <w:szCs w:val="22"/>
          <w:lang w:val="en-US"/>
        </w:rPr>
        <w:t xml:space="preserve">. </w:t>
      </w:r>
    </w:p>
    <w:p w14:paraId="0609B612" w14:textId="77777777" w:rsidR="00B41324" w:rsidRPr="005028C6" w:rsidRDefault="00B41324" w:rsidP="00B41324">
      <w:pPr>
        <w:tabs>
          <w:tab w:val="left" w:pos="7230"/>
        </w:tabs>
        <w:ind w:firstLine="567"/>
        <w:jc w:val="both"/>
        <w:rPr>
          <w:rStyle w:val="-"/>
          <w:rFonts w:asciiTheme="minorHAnsi" w:hAnsiTheme="minorHAnsi" w:cstheme="minorHAnsi"/>
          <w:sz w:val="22"/>
          <w:szCs w:val="22"/>
          <w:lang w:val="en-US"/>
        </w:rPr>
      </w:pPr>
      <w:r w:rsidRPr="005028C6">
        <w:rPr>
          <w:rFonts w:asciiTheme="minorHAnsi" w:hAnsiTheme="minorHAnsi" w:cstheme="minorHAnsi"/>
          <w:sz w:val="22"/>
          <w:szCs w:val="22"/>
          <w:lang w:val="en-US"/>
        </w:rPr>
        <w:t xml:space="preserve">Tan, B.S., Wilson, E., </w:t>
      </w:r>
      <w:proofErr w:type="spellStart"/>
      <w:r w:rsidRPr="005028C6">
        <w:rPr>
          <w:rFonts w:asciiTheme="minorHAnsi" w:hAnsiTheme="minorHAnsi" w:cstheme="minorHAnsi"/>
          <w:sz w:val="22"/>
          <w:szCs w:val="22"/>
          <w:lang w:val="en-US"/>
        </w:rPr>
        <w:t>Campain</w:t>
      </w:r>
      <w:proofErr w:type="spellEnd"/>
      <w:r w:rsidRPr="005028C6">
        <w:rPr>
          <w:rFonts w:asciiTheme="minorHAnsi" w:hAnsiTheme="minorHAnsi" w:cstheme="minorHAnsi"/>
          <w:sz w:val="22"/>
          <w:szCs w:val="22"/>
          <w:lang w:val="en-US"/>
        </w:rPr>
        <w:t xml:space="preserve">, R., </w:t>
      </w:r>
      <w:proofErr w:type="spellStart"/>
      <w:r w:rsidRPr="005028C6">
        <w:rPr>
          <w:rFonts w:asciiTheme="minorHAnsi" w:hAnsiTheme="minorHAnsi" w:cstheme="minorHAnsi"/>
          <w:sz w:val="22"/>
          <w:szCs w:val="22"/>
          <w:lang w:val="en-US"/>
        </w:rPr>
        <w:t>Murfitt</w:t>
      </w:r>
      <w:proofErr w:type="spellEnd"/>
      <w:r w:rsidRPr="005028C6">
        <w:rPr>
          <w:rFonts w:asciiTheme="minorHAnsi" w:hAnsiTheme="minorHAnsi" w:cstheme="minorHAnsi"/>
          <w:sz w:val="22"/>
          <w:szCs w:val="22"/>
          <w:lang w:val="en-US"/>
        </w:rPr>
        <w:t xml:space="preserve">, K., &amp; </w:t>
      </w:r>
      <w:proofErr w:type="spellStart"/>
      <w:r w:rsidRPr="005028C6">
        <w:rPr>
          <w:rFonts w:asciiTheme="minorHAnsi" w:hAnsiTheme="minorHAnsi" w:cstheme="minorHAnsi"/>
          <w:sz w:val="22"/>
          <w:szCs w:val="22"/>
          <w:lang w:val="en-US"/>
        </w:rPr>
        <w:t>Hagiliassis</w:t>
      </w:r>
      <w:proofErr w:type="spellEnd"/>
      <w:r w:rsidRPr="005028C6">
        <w:rPr>
          <w:rFonts w:asciiTheme="minorHAnsi" w:hAnsiTheme="minorHAnsi" w:cstheme="minorHAnsi"/>
          <w:sz w:val="22"/>
          <w:szCs w:val="22"/>
          <w:lang w:val="en-US"/>
        </w:rPr>
        <w:t xml:space="preserve">, N. (2019). Understanding negative attitudes toward disability to foster social inclusion: An Australian case study. Deakin University. In </w:t>
      </w:r>
      <w:r w:rsidRPr="005028C6">
        <w:rPr>
          <w:rFonts w:asciiTheme="minorHAnsi" w:hAnsiTheme="minorHAnsi" w:cstheme="minorHAnsi"/>
          <w:i/>
          <w:iCs/>
          <w:sz w:val="22"/>
          <w:szCs w:val="22"/>
          <w:lang w:val="en-US"/>
        </w:rPr>
        <w:t>Inclusion, Equity and Access for Individuals with Disabilities: Insights from Educators across</w:t>
      </w:r>
      <w:r w:rsidRPr="005028C6">
        <w:rPr>
          <w:rFonts w:asciiTheme="minorHAnsi" w:hAnsiTheme="minorHAnsi" w:cstheme="minorHAnsi"/>
          <w:bCs/>
          <w:i/>
          <w:iCs/>
          <w:sz w:val="22"/>
          <w:szCs w:val="22"/>
          <w:lang w:val="en-US"/>
        </w:rPr>
        <w:t xml:space="preserve"> </w:t>
      </w:r>
      <w:r w:rsidRPr="005028C6">
        <w:rPr>
          <w:rFonts w:asciiTheme="minorHAnsi" w:hAnsiTheme="minorHAnsi" w:cstheme="minorHAnsi"/>
          <w:i/>
          <w:iCs/>
          <w:sz w:val="22"/>
          <w:szCs w:val="22"/>
          <w:lang w:val="en-US"/>
        </w:rPr>
        <w:t>World</w:t>
      </w:r>
      <w:r w:rsidRPr="005028C6">
        <w:rPr>
          <w:rFonts w:asciiTheme="minorHAnsi" w:hAnsiTheme="minorHAnsi" w:cstheme="minorHAnsi"/>
          <w:sz w:val="22"/>
          <w:szCs w:val="22"/>
          <w:lang w:val="en-US"/>
        </w:rPr>
        <w:t xml:space="preserve">, Halder, </w:t>
      </w:r>
      <w:r w:rsidRPr="005028C6">
        <w:rPr>
          <w:rFonts w:asciiTheme="minorHAnsi" w:hAnsiTheme="minorHAnsi" w:cstheme="minorHAnsi"/>
          <w:bCs/>
          <w:sz w:val="22"/>
          <w:szCs w:val="22"/>
          <w:lang w:val="en-US"/>
        </w:rPr>
        <w:t xml:space="preserve">S. &amp; </w:t>
      </w:r>
      <w:proofErr w:type="spellStart"/>
      <w:r w:rsidRPr="005028C6">
        <w:rPr>
          <w:rFonts w:asciiTheme="minorHAnsi" w:hAnsiTheme="minorHAnsi" w:cstheme="minorHAnsi"/>
          <w:bCs/>
          <w:sz w:val="22"/>
          <w:szCs w:val="22"/>
          <w:lang w:val="en-US"/>
        </w:rPr>
        <w:t>A</w:t>
      </w:r>
      <w:r w:rsidRPr="005028C6">
        <w:rPr>
          <w:rFonts w:asciiTheme="minorHAnsi" w:hAnsiTheme="minorHAnsi" w:cstheme="minorHAnsi"/>
          <w:sz w:val="22"/>
          <w:szCs w:val="22"/>
          <w:lang w:val="en-US"/>
        </w:rPr>
        <w:t>rgyropoulos</w:t>
      </w:r>
      <w:proofErr w:type="spellEnd"/>
      <w:r w:rsidRPr="005028C6">
        <w:rPr>
          <w:rFonts w:asciiTheme="minorHAnsi" w:hAnsiTheme="minorHAnsi" w:cstheme="minorHAnsi"/>
          <w:sz w:val="22"/>
          <w:szCs w:val="22"/>
          <w:lang w:val="en-US"/>
        </w:rPr>
        <w:t>,</w:t>
      </w:r>
      <w:r w:rsidRPr="005028C6">
        <w:rPr>
          <w:rFonts w:asciiTheme="minorHAnsi" w:hAnsiTheme="minorHAnsi" w:cstheme="minorHAnsi"/>
          <w:bCs/>
          <w:sz w:val="22"/>
          <w:szCs w:val="22"/>
          <w:lang w:val="en-US"/>
        </w:rPr>
        <w:t xml:space="preserve"> V. (Eds.), (pp</w:t>
      </w:r>
      <w:r w:rsidRPr="005028C6">
        <w:rPr>
          <w:rFonts w:asciiTheme="minorHAnsi" w:hAnsiTheme="minorHAnsi" w:cstheme="minorHAnsi"/>
          <w:sz w:val="22"/>
          <w:szCs w:val="22"/>
          <w:lang w:val="en-US"/>
        </w:rPr>
        <w:t xml:space="preserve"> 41–65</w:t>
      </w:r>
      <w:r w:rsidRPr="005028C6">
        <w:rPr>
          <w:rFonts w:asciiTheme="minorHAnsi" w:hAnsiTheme="minorHAnsi" w:cstheme="minorHAnsi"/>
          <w:bCs/>
          <w:sz w:val="22"/>
          <w:szCs w:val="22"/>
          <w:lang w:val="en-US"/>
        </w:rPr>
        <w:t>)</w:t>
      </w:r>
      <w:r w:rsidRPr="005028C6">
        <w:rPr>
          <w:rFonts w:asciiTheme="minorHAnsi" w:hAnsiTheme="minorHAnsi" w:cstheme="minorHAnsi"/>
          <w:sz w:val="22"/>
          <w:szCs w:val="22"/>
          <w:lang w:val="en-US"/>
        </w:rPr>
        <w:t>.</w:t>
      </w:r>
      <w:r w:rsidRPr="005028C6">
        <w:rPr>
          <w:rFonts w:asciiTheme="minorHAnsi" w:hAnsiTheme="minorHAnsi" w:cstheme="minorHAnsi"/>
          <w:bCs/>
          <w:sz w:val="22"/>
          <w:szCs w:val="22"/>
          <w:lang w:val="en-US"/>
        </w:rPr>
        <w:t xml:space="preserve"> </w:t>
      </w:r>
      <w:r w:rsidRPr="005028C6">
        <w:rPr>
          <w:rFonts w:asciiTheme="minorHAnsi" w:hAnsiTheme="minorHAnsi" w:cstheme="minorHAnsi"/>
          <w:sz w:val="22"/>
          <w:szCs w:val="22"/>
          <w:lang w:val="en-US"/>
        </w:rPr>
        <w:t xml:space="preserve">Singapore: Springer </w:t>
      </w:r>
      <w:hyperlink r:id="rId44" w:history="1">
        <w:r w:rsidRPr="005028C6">
          <w:rPr>
            <w:rStyle w:val="-"/>
            <w:rFonts w:asciiTheme="minorHAnsi" w:hAnsiTheme="minorHAnsi" w:cstheme="minorHAnsi"/>
            <w:sz w:val="22"/>
            <w:szCs w:val="22"/>
            <w:lang w:val="en-US"/>
          </w:rPr>
          <w:t>https://hdl.handle.net/10536/DRO/DU:30134764</w:t>
        </w:r>
      </w:hyperlink>
      <w:r w:rsidRPr="005028C6">
        <w:rPr>
          <w:rStyle w:val="-"/>
          <w:rFonts w:asciiTheme="minorHAnsi" w:hAnsiTheme="minorHAnsi" w:cstheme="minorHAnsi"/>
          <w:sz w:val="22"/>
          <w:szCs w:val="22"/>
          <w:lang w:val="en-US"/>
        </w:rPr>
        <w:t>.</w:t>
      </w:r>
    </w:p>
    <w:p w14:paraId="3D9A8AC2" w14:textId="77777777" w:rsidR="00B41324" w:rsidRPr="005028C6" w:rsidRDefault="00B41324" w:rsidP="00B41324">
      <w:pPr>
        <w:tabs>
          <w:tab w:val="left" w:pos="7230"/>
        </w:tabs>
        <w:ind w:firstLine="567"/>
        <w:jc w:val="both"/>
        <w:rPr>
          <w:rStyle w:val="-"/>
          <w:rFonts w:asciiTheme="minorHAnsi" w:hAnsiTheme="minorHAnsi" w:cstheme="minorHAnsi"/>
          <w:sz w:val="22"/>
          <w:szCs w:val="22"/>
          <w:lang w:val="en-US"/>
        </w:rPr>
      </w:pPr>
      <w:r w:rsidRPr="005028C6">
        <w:rPr>
          <w:rFonts w:asciiTheme="minorHAnsi" w:hAnsiTheme="minorHAnsi" w:cstheme="minorHAnsi"/>
          <w:sz w:val="22"/>
          <w:szCs w:val="22"/>
          <w:lang w:val="en-US"/>
        </w:rPr>
        <w:t xml:space="preserve">Temple, J.B., </w:t>
      </w:r>
      <w:proofErr w:type="spellStart"/>
      <w:r w:rsidRPr="005028C6">
        <w:rPr>
          <w:rFonts w:asciiTheme="minorHAnsi" w:hAnsiTheme="minorHAnsi" w:cstheme="minorHAnsi"/>
          <w:sz w:val="22"/>
          <w:szCs w:val="22"/>
          <w:lang w:val="en-US"/>
        </w:rPr>
        <w:t>Kelaher</w:t>
      </w:r>
      <w:proofErr w:type="spellEnd"/>
      <w:r w:rsidRPr="005028C6">
        <w:rPr>
          <w:rFonts w:asciiTheme="minorHAnsi" w:hAnsiTheme="minorHAnsi" w:cstheme="minorHAnsi"/>
          <w:sz w:val="22"/>
          <w:szCs w:val="22"/>
          <w:lang w:val="en-US"/>
        </w:rPr>
        <w:t xml:space="preserve">, M. &amp; Williams, R. (2018).  Discrimination and avoidance due to disability in Australia: evidence from a National Cross-Sectional Survey. </w:t>
      </w:r>
      <w:r w:rsidRPr="005028C6">
        <w:rPr>
          <w:rFonts w:asciiTheme="minorHAnsi" w:hAnsiTheme="minorHAnsi" w:cstheme="minorHAnsi"/>
          <w:i/>
          <w:iCs/>
          <w:sz w:val="22"/>
          <w:szCs w:val="22"/>
          <w:lang w:val="en-US"/>
        </w:rPr>
        <w:t>BMC Public Health</w:t>
      </w:r>
      <w:r w:rsidRPr="005028C6">
        <w:rPr>
          <w:rFonts w:asciiTheme="minorHAnsi" w:hAnsiTheme="minorHAnsi" w:cstheme="minorHAnsi"/>
          <w:sz w:val="22"/>
          <w:szCs w:val="22"/>
          <w:lang w:val="en-US"/>
        </w:rPr>
        <w:t xml:space="preserve"> </w:t>
      </w:r>
      <w:r w:rsidRPr="005028C6">
        <w:rPr>
          <w:rFonts w:asciiTheme="minorHAnsi" w:hAnsiTheme="minorHAnsi" w:cstheme="minorHAnsi"/>
          <w:bCs/>
          <w:i/>
          <w:sz w:val="22"/>
          <w:szCs w:val="22"/>
          <w:lang w:val="en-US"/>
        </w:rPr>
        <w:t>18</w:t>
      </w:r>
      <w:r w:rsidRPr="005028C6">
        <w:rPr>
          <w:rFonts w:asciiTheme="minorHAnsi" w:hAnsiTheme="minorHAnsi" w:cstheme="minorHAnsi"/>
          <w:sz w:val="22"/>
          <w:szCs w:val="22"/>
          <w:lang w:val="en-US"/>
        </w:rPr>
        <w:t xml:space="preserve">, 1347. </w:t>
      </w:r>
      <w:hyperlink r:id="rId45" w:history="1">
        <w:r w:rsidRPr="005028C6">
          <w:rPr>
            <w:rStyle w:val="-"/>
            <w:rFonts w:asciiTheme="minorHAnsi" w:hAnsiTheme="minorHAnsi" w:cstheme="minorHAnsi"/>
            <w:sz w:val="22"/>
            <w:szCs w:val="22"/>
            <w:lang w:val="en-US"/>
          </w:rPr>
          <w:t>https://doi.org/10.1186/s12889-018-6234-7</w:t>
        </w:r>
      </w:hyperlink>
    </w:p>
    <w:p w14:paraId="6CCA137C" w14:textId="77777777" w:rsidR="00B41324" w:rsidRPr="005028C6" w:rsidRDefault="00B41324" w:rsidP="00B41324">
      <w:pPr>
        <w:tabs>
          <w:tab w:val="left" w:pos="7230"/>
        </w:tabs>
        <w:ind w:firstLine="567"/>
        <w:jc w:val="both"/>
        <w:rPr>
          <w:rStyle w:val="-"/>
          <w:rFonts w:asciiTheme="minorHAnsi" w:hAnsiTheme="minorHAnsi" w:cstheme="minorHAnsi"/>
          <w:sz w:val="22"/>
          <w:szCs w:val="22"/>
          <w:lang w:val="en-US"/>
        </w:rPr>
      </w:pPr>
      <w:proofErr w:type="spellStart"/>
      <w:r w:rsidRPr="005028C6">
        <w:rPr>
          <w:rFonts w:asciiTheme="minorHAnsi" w:hAnsiTheme="minorHAnsi" w:cstheme="minorHAnsi"/>
          <w:sz w:val="22"/>
          <w:szCs w:val="22"/>
          <w:lang w:val="en-US"/>
        </w:rPr>
        <w:t>Vornholt</w:t>
      </w:r>
      <w:proofErr w:type="spellEnd"/>
      <w:r w:rsidRPr="005028C6">
        <w:rPr>
          <w:rFonts w:asciiTheme="minorHAnsi" w:hAnsiTheme="minorHAnsi" w:cstheme="minorHAnsi"/>
          <w:sz w:val="22"/>
          <w:szCs w:val="22"/>
          <w:lang w:val="en-US"/>
        </w:rPr>
        <w:t xml:space="preserve">, K., </w:t>
      </w:r>
      <w:proofErr w:type="spellStart"/>
      <w:r w:rsidRPr="005028C6">
        <w:rPr>
          <w:rFonts w:asciiTheme="minorHAnsi" w:hAnsiTheme="minorHAnsi" w:cstheme="minorHAnsi"/>
          <w:sz w:val="22"/>
          <w:szCs w:val="22"/>
          <w:lang w:val="en-US"/>
        </w:rPr>
        <w:t>Villotti</w:t>
      </w:r>
      <w:proofErr w:type="spellEnd"/>
      <w:r w:rsidRPr="005028C6">
        <w:rPr>
          <w:rFonts w:asciiTheme="minorHAnsi" w:hAnsiTheme="minorHAnsi" w:cstheme="minorHAnsi"/>
          <w:sz w:val="22"/>
          <w:szCs w:val="22"/>
          <w:lang w:val="en-US"/>
        </w:rPr>
        <w:t xml:space="preserve">, P., </w:t>
      </w:r>
      <w:proofErr w:type="spellStart"/>
      <w:r w:rsidRPr="005028C6">
        <w:rPr>
          <w:rFonts w:asciiTheme="minorHAnsi" w:hAnsiTheme="minorHAnsi" w:cstheme="minorHAnsi"/>
          <w:sz w:val="22"/>
          <w:szCs w:val="22"/>
          <w:lang w:val="en-US"/>
        </w:rPr>
        <w:t>Muschalla</w:t>
      </w:r>
      <w:proofErr w:type="spellEnd"/>
      <w:r w:rsidRPr="005028C6">
        <w:rPr>
          <w:rFonts w:asciiTheme="minorHAnsi" w:hAnsiTheme="minorHAnsi" w:cstheme="minorHAnsi"/>
          <w:sz w:val="22"/>
          <w:szCs w:val="22"/>
          <w:lang w:val="en-US"/>
        </w:rPr>
        <w:t xml:space="preserve">, B., Bauer, J., Colella, A., </w:t>
      </w:r>
      <w:proofErr w:type="spellStart"/>
      <w:r w:rsidRPr="005028C6">
        <w:rPr>
          <w:rFonts w:asciiTheme="minorHAnsi" w:hAnsiTheme="minorHAnsi" w:cstheme="minorHAnsi"/>
          <w:sz w:val="22"/>
          <w:szCs w:val="22"/>
          <w:lang w:val="en-US"/>
        </w:rPr>
        <w:t>Zijlstra</w:t>
      </w:r>
      <w:proofErr w:type="spellEnd"/>
      <w:r w:rsidRPr="005028C6">
        <w:rPr>
          <w:rFonts w:asciiTheme="minorHAnsi" w:hAnsiTheme="minorHAnsi" w:cstheme="minorHAnsi"/>
          <w:sz w:val="22"/>
          <w:szCs w:val="22"/>
          <w:lang w:val="en-US"/>
        </w:rPr>
        <w:t xml:space="preserve">, F., Van </w:t>
      </w:r>
      <w:proofErr w:type="spellStart"/>
      <w:r w:rsidRPr="005028C6">
        <w:rPr>
          <w:rFonts w:asciiTheme="minorHAnsi" w:hAnsiTheme="minorHAnsi" w:cstheme="minorHAnsi"/>
          <w:sz w:val="22"/>
          <w:szCs w:val="22"/>
          <w:lang w:val="en-US"/>
        </w:rPr>
        <w:t>Ruitenbeek</w:t>
      </w:r>
      <w:proofErr w:type="spellEnd"/>
      <w:r w:rsidRPr="005028C6">
        <w:rPr>
          <w:rFonts w:asciiTheme="minorHAnsi" w:hAnsiTheme="minorHAnsi" w:cstheme="minorHAnsi"/>
          <w:sz w:val="22"/>
          <w:szCs w:val="22"/>
          <w:lang w:val="en-US"/>
        </w:rPr>
        <w:t xml:space="preserve">, G., </w:t>
      </w:r>
      <w:proofErr w:type="spellStart"/>
      <w:r w:rsidRPr="005028C6">
        <w:rPr>
          <w:rFonts w:asciiTheme="minorHAnsi" w:hAnsiTheme="minorHAnsi" w:cstheme="minorHAnsi"/>
          <w:sz w:val="22"/>
          <w:szCs w:val="22"/>
          <w:lang w:val="en-US"/>
        </w:rPr>
        <w:t>Uitdewilligen</w:t>
      </w:r>
      <w:proofErr w:type="spellEnd"/>
      <w:r w:rsidRPr="005028C6">
        <w:rPr>
          <w:rFonts w:asciiTheme="minorHAnsi" w:hAnsiTheme="minorHAnsi" w:cstheme="minorHAnsi"/>
          <w:sz w:val="22"/>
          <w:szCs w:val="22"/>
          <w:lang w:val="en-US"/>
        </w:rPr>
        <w:t>, S., &amp;</w:t>
      </w:r>
      <w:proofErr w:type="spellStart"/>
      <w:r w:rsidRPr="005028C6">
        <w:rPr>
          <w:rFonts w:asciiTheme="minorHAnsi" w:hAnsiTheme="minorHAnsi" w:cstheme="minorHAnsi"/>
          <w:sz w:val="22"/>
          <w:szCs w:val="22"/>
          <w:lang w:val="en-US"/>
        </w:rPr>
        <w:t>Corbière</w:t>
      </w:r>
      <w:proofErr w:type="spellEnd"/>
      <w:r w:rsidRPr="005028C6">
        <w:rPr>
          <w:rFonts w:asciiTheme="minorHAnsi" w:hAnsiTheme="minorHAnsi" w:cstheme="minorHAnsi"/>
          <w:sz w:val="22"/>
          <w:szCs w:val="22"/>
          <w:lang w:val="en-US"/>
        </w:rPr>
        <w:t xml:space="preserve">, M. (2018). Disability and employment—Overview and highlights. </w:t>
      </w:r>
      <w:r w:rsidRPr="005028C6">
        <w:rPr>
          <w:rFonts w:asciiTheme="minorHAnsi" w:hAnsiTheme="minorHAnsi" w:cstheme="minorHAnsi"/>
          <w:i/>
          <w:sz w:val="22"/>
          <w:szCs w:val="22"/>
          <w:lang w:val="en-US"/>
        </w:rPr>
        <w:t>European Journal of Work and Organizational Psychology</w:t>
      </w:r>
      <w:r w:rsidRPr="005028C6">
        <w:rPr>
          <w:rFonts w:asciiTheme="minorHAnsi" w:hAnsiTheme="minorHAnsi" w:cstheme="minorHAnsi"/>
          <w:sz w:val="22"/>
          <w:szCs w:val="22"/>
          <w:lang w:val="en-US"/>
        </w:rPr>
        <w:t xml:space="preserve">, </w:t>
      </w:r>
      <w:r w:rsidRPr="005028C6">
        <w:rPr>
          <w:rFonts w:asciiTheme="minorHAnsi" w:hAnsiTheme="minorHAnsi" w:cstheme="minorHAnsi"/>
          <w:i/>
          <w:sz w:val="22"/>
          <w:szCs w:val="22"/>
          <w:lang w:val="en-US"/>
        </w:rPr>
        <w:t>27</w:t>
      </w:r>
      <w:r w:rsidRPr="005028C6">
        <w:rPr>
          <w:rFonts w:asciiTheme="minorHAnsi" w:hAnsiTheme="minorHAnsi" w:cstheme="minorHAnsi"/>
          <w:sz w:val="22"/>
          <w:szCs w:val="22"/>
          <w:lang w:val="en-US"/>
        </w:rPr>
        <w:t xml:space="preserve">(1), 40–55. </w:t>
      </w:r>
      <w:hyperlink r:id="rId46" w:history="1">
        <w:r w:rsidRPr="005028C6">
          <w:rPr>
            <w:rStyle w:val="-"/>
            <w:rFonts w:asciiTheme="minorHAnsi" w:hAnsiTheme="minorHAnsi" w:cstheme="minorHAnsi"/>
            <w:sz w:val="22"/>
            <w:szCs w:val="22"/>
            <w:lang w:val="en-US"/>
          </w:rPr>
          <w:t>https://doi.org/10.1080/1359432X.2017.1387536</w:t>
        </w:r>
      </w:hyperlink>
      <w:r w:rsidRPr="005028C6">
        <w:rPr>
          <w:rStyle w:val="-"/>
          <w:rFonts w:asciiTheme="minorHAnsi" w:hAnsiTheme="minorHAnsi" w:cstheme="minorHAnsi"/>
          <w:sz w:val="22"/>
          <w:szCs w:val="22"/>
          <w:lang w:val="en-US"/>
        </w:rPr>
        <w:t xml:space="preserve">. </w:t>
      </w:r>
    </w:p>
    <w:p w14:paraId="1F5A622D" w14:textId="77777777" w:rsidR="00B41324" w:rsidRPr="005028C6" w:rsidRDefault="00B41324" w:rsidP="00B41324">
      <w:pPr>
        <w:tabs>
          <w:tab w:val="left" w:pos="7230"/>
        </w:tabs>
        <w:ind w:firstLine="567"/>
        <w:jc w:val="both"/>
        <w:rPr>
          <w:rFonts w:asciiTheme="minorHAnsi" w:hAnsiTheme="minorHAnsi" w:cstheme="minorHAnsi"/>
          <w:sz w:val="22"/>
          <w:szCs w:val="22"/>
          <w:u w:val="single"/>
          <w:lang w:val="en-US"/>
        </w:rPr>
      </w:pPr>
      <w:r w:rsidRPr="005028C6">
        <w:rPr>
          <w:rFonts w:asciiTheme="minorHAnsi" w:hAnsiTheme="minorHAnsi" w:cstheme="minorHAnsi"/>
          <w:sz w:val="22"/>
          <w:szCs w:val="22"/>
          <w:lang w:val="en-US"/>
        </w:rPr>
        <w:t xml:space="preserve">Wang, Z., Xu, X., Han, Chen, Y., Jiang, J., Ni, G. (2021). Factors associated with public attitudes towards persons with disabilities: a systematic review. </w:t>
      </w:r>
      <w:r w:rsidRPr="005028C6">
        <w:rPr>
          <w:rFonts w:asciiTheme="minorHAnsi" w:hAnsiTheme="minorHAnsi" w:cstheme="minorHAnsi"/>
          <w:i/>
          <w:iCs/>
          <w:sz w:val="22"/>
          <w:szCs w:val="22"/>
          <w:lang w:val="en-US"/>
        </w:rPr>
        <w:t>BMC Public Health</w:t>
      </w:r>
      <w:r w:rsidRPr="005028C6">
        <w:rPr>
          <w:rFonts w:asciiTheme="minorHAnsi" w:hAnsiTheme="minorHAnsi" w:cstheme="minorHAnsi"/>
          <w:sz w:val="22"/>
          <w:szCs w:val="22"/>
          <w:lang w:val="en-US"/>
        </w:rPr>
        <w:t xml:space="preserve"> </w:t>
      </w:r>
      <w:r w:rsidRPr="005028C6">
        <w:rPr>
          <w:rFonts w:asciiTheme="minorHAnsi" w:hAnsiTheme="minorHAnsi" w:cstheme="minorHAnsi"/>
          <w:bCs/>
          <w:i/>
          <w:sz w:val="22"/>
          <w:szCs w:val="22"/>
          <w:lang w:val="en-US"/>
        </w:rPr>
        <w:t>21</w:t>
      </w:r>
      <w:r w:rsidRPr="005028C6">
        <w:rPr>
          <w:rFonts w:asciiTheme="minorHAnsi" w:hAnsiTheme="minorHAnsi" w:cstheme="minorHAnsi"/>
          <w:sz w:val="22"/>
          <w:szCs w:val="22"/>
          <w:lang w:val="en-US"/>
        </w:rPr>
        <w:t xml:space="preserve">, 1058 (2021). </w:t>
      </w:r>
      <w:hyperlink r:id="rId47" w:history="1">
        <w:r w:rsidRPr="005028C6">
          <w:rPr>
            <w:rStyle w:val="-"/>
            <w:rFonts w:asciiTheme="minorHAnsi" w:hAnsiTheme="minorHAnsi" w:cstheme="minorHAnsi"/>
            <w:sz w:val="22"/>
            <w:szCs w:val="22"/>
            <w:lang w:val="en-US"/>
          </w:rPr>
          <w:t>https://doi.org/10.1186/s12889-021-11139-3</w:t>
        </w:r>
      </w:hyperlink>
      <w:r w:rsidRPr="005028C6">
        <w:rPr>
          <w:rStyle w:val="-"/>
          <w:rFonts w:asciiTheme="minorHAnsi" w:hAnsiTheme="minorHAnsi" w:cstheme="minorHAnsi"/>
          <w:sz w:val="22"/>
          <w:szCs w:val="22"/>
          <w:lang w:val="en-US"/>
        </w:rPr>
        <w:t xml:space="preserve">. </w:t>
      </w:r>
    </w:p>
    <w:p w14:paraId="69752200" w14:textId="77777777" w:rsidR="00B41324" w:rsidRPr="005028C6" w:rsidRDefault="00B41324" w:rsidP="00B41324">
      <w:pPr>
        <w:pStyle w:val="1"/>
        <w:tabs>
          <w:tab w:val="left" w:pos="7230"/>
        </w:tabs>
        <w:ind w:left="0" w:firstLine="567"/>
        <w:rPr>
          <w:rFonts w:asciiTheme="minorHAnsi" w:hAnsiTheme="minorHAnsi" w:cstheme="minorHAnsi"/>
          <w:sz w:val="22"/>
          <w:szCs w:val="22"/>
          <w:lang w:val="en-US"/>
        </w:rPr>
      </w:pPr>
      <w:r w:rsidRPr="005028C6">
        <w:rPr>
          <w:rFonts w:asciiTheme="minorHAnsi" w:hAnsiTheme="minorHAnsi" w:cstheme="minorHAnsi"/>
          <w:sz w:val="22"/>
          <w:szCs w:val="22"/>
          <w:lang w:val="en-US"/>
        </w:rPr>
        <w:t xml:space="preserve">Webster, A., Cumming, J., &amp; Rowland, S. (2017). Facilitating Self-Determination Through Education Planning. In </w:t>
      </w:r>
      <w:r w:rsidRPr="005028C6">
        <w:rPr>
          <w:rFonts w:asciiTheme="minorHAnsi" w:hAnsiTheme="minorHAnsi" w:cstheme="minorHAnsi"/>
          <w:i/>
          <w:sz w:val="22"/>
          <w:szCs w:val="22"/>
          <w:lang w:val="en-US"/>
        </w:rPr>
        <w:t>Empowering parents of children with autism Spectrum disorder</w:t>
      </w:r>
      <w:r w:rsidRPr="005028C6">
        <w:rPr>
          <w:rFonts w:asciiTheme="minorHAnsi" w:hAnsiTheme="minorHAnsi" w:cstheme="minorHAnsi"/>
          <w:sz w:val="22"/>
          <w:szCs w:val="22"/>
          <w:lang w:val="en-US"/>
        </w:rPr>
        <w:t xml:space="preserve"> (pp. 135–154). Springer Singapore. </w:t>
      </w:r>
      <w:hyperlink r:id="rId48" w:history="1">
        <w:r w:rsidRPr="005028C6">
          <w:rPr>
            <w:rStyle w:val="-"/>
            <w:rFonts w:asciiTheme="minorHAnsi" w:hAnsiTheme="minorHAnsi" w:cstheme="minorHAnsi"/>
            <w:sz w:val="22"/>
            <w:szCs w:val="22"/>
            <w:lang w:val="en-US"/>
          </w:rPr>
          <w:t>https://doi.org/10.1007/978-981-10-2084-1_8</w:t>
        </w:r>
      </w:hyperlink>
      <w:r w:rsidRPr="005028C6">
        <w:rPr>
          <w:rStyle w:val="-"/>
          <w:rFonts w:asciiTheme="minorHAnsi" w:hAnsiTheme="minorHAnsi" w:cstheme="minorHAnsi"/>
          <w:sz w:val="22"/>
          <w:szCs w:val="22"/>
          <w:lang w:val="en-US"/>
        </w:rPr>
        <w:t xml:space="preserve">. </w:t>
      </w:r>
    </w:p>
    <w:p w14:paraId="4DA6490B" w14:textId="77777777" w:rsidR="00B41324" w:rsidRPr="005028C6" w:rsidRDefault="00B41324" w:rsidP="00B41324">
      <w:pPr>
        <w:tabs>
          <w:tab w:val="left" w:pos="7230"/>
        </w:tabs>
        <w:ind w:firstLine="567"/>
        <w:jc w:val="both"/>
        <w:rPr>
          <w:rFonts w:asciiTheme="minorHAnsi" w:hAnsiTheme="minorHAnsi" w:cstheme="minorHAnsi"/>
          <w:bCs/>
          <w:sz w:val="22"/>
          <w:szCs w:val="22"/>
          <w:lang w:val="en-US"/>
        </w:rPr>
      </w:pPr>
      <w:r w:rsidRPr="005028C6">
        <w:rPr>
          <w:rFonts w:asciiTheme="minorHAnsi" w:hAnsiTheme="minorHAnsi" w:cstheme="minorHAnsi"/>
          <w:bCs/>
          <w:sz w:val="22"/>
          <w:szCs w:val="22"/>
          <w:lang w:val="en-US"/>
        </w:rPr>
        <w:t xml:space="preserve">West, S.G., Finch, J.F. &amp; Curran, P.J. (1995). Structural Equation Models with </w:t>
      </w:r>
      <w:proofErr w:type="spellStart"/>
      <w:r w:rsidRPr="005028C6">
        <w:rPr>
          <w:rFonts w:asciiTheme="minorHAnsi" w:hAnsiTheme="minorHAnsi" w:cstheme="minorHAnsi"/>
          <w:bCs/>
          <w:sz w:val="22"/>
          <w:szCs w:val="22"/>
          <w:lang w:val="en-US"/>
        </w:rPr>
        <w:t>non normal</w:t>
      </w:r>
      <w:proofErr w:type="spellEnd"/>
      <w:r w:rsidRPr="005028C6">
        <w:rPr>
          <w:rFonts w:asciiTheme="minorHAnsi" w:hAnsiTheme="minorHAnsi" w:cstheme="minorHAnsi"/>
          <w:bCs/>
          <w:sz w:val="22"/>
          <w:szCs w:val="22"/>
          <w:lang w:val="en-US"/>
        </w:rPr>
        <w:t xml:space="preserve"> data variables: problems and remedies, In R.H. Hoyle (Ed.), </w:t>
      </w:r>
      <w:r w:rsidRPr="005028C6">
        <w:rPr>
          <w:rFonts w:asciiTheme="minorHAnsi" w:hAnsiTheme="minorHAnsi" w:cstheme="minorHAnsi"/>
          <w:bCs/>
          <w:i/>
          <w:sz w:val="22"/>
          <w:szCs w:val="22"/>
          <w:lang w:val="en-US"/>
        </w:rPr>
        <w:t>Structural Equation Modeling: Concepts, Issues, and Applications</w:t>
      </w:r>
      <w:r w:rsidRPr="005028C6">
        <w:rPr>
          <w:rFonts w:asciiTheme="minorHAnsi" w:hAnsiTheme="minorHAnsi" w:cstheme="minorHAnsi"/>
          <w:bCs/>
          <w:sz w:val="22"/>
          <w:szCs w:val="22"/>
          <w:lang w:val="en-US"/>
        </w:rPr>
        <w:t xml:space="preserve"> (pp. 56-75), London: Sage.</w:t>
      </w:r>
    </w:p>
    <w:p w14:paraId="7F4D0C2D" w14:textId="132CD4F3" w:rsidR="00B41324" w:rsidRDefault="00B41324" w:rsidP="00B41324">
      <w:pPr>
        <w:pStyle w:val="1"/>
        <w:tabs>
          <w:tab w:val="left" w:pos="7230"/>
        </w:tabs>
        <w:ind w:left="0" w:firstLine="567"/>
        <w:rPr>
          <w:rStyle w:val="-"/>
          <w:rFonts w:asciiTheme="minorHAnsi" w:hAnsiTheme="minorHAnsi" w:cstheme="minorHAnsi"/>
          <w:sz w:val="22"/>
          <w:szCs w:val="22"/>
          <w:lang w:val="en-US"/>
        </w:rPr>
      </w:pPr>
      <w:proofErr w:type="spellStart"/>
      <w:r w:rsidRPr="005028C6">
        <w:rPr>
          <w:rFonts w:asciiTheme="minorHAnsi" w:hAnsiTheme="minorHAnsi" w:cstheme="minorHAnsi"/>
          <w:sz w:val="22"/>
          <w:szCs w:val="22"/>
          <w:lang w:val="en-US"/>
        </w:rPr>
        <w:t>Zijlstra</w:t>
      </w:r>
      <w:proofErr w:type="spellEnd"/>
      <w:r w:rsidRPr="005028C6">
        <w:rPr>
          <w:rFonts w:asciiTheme="minorHAnsi" w:hAnsiTheme="minorHAnsi" w:cstheme="minorHAnsi"/>
          <w:sz w:val="22"/>
          <w:szCs w:val="22"/>
          <w:lang w:val="en-US"/>
        </w:rPr>
        <w:t xml:space="preserve">, F., van </w:t>
      </w:r>
      <w:proofErr w:type="spellStart"/>
      <w:r w:rsidRPr="005028C6">
        <w:rPr>
          <w:rFonts w:asciiTheme="minorHAnsi" w:hAnsiTheme="minorHAnsi" w:cstheme="minorHAnsi"/>
          <w:sz w:val="22"/>
          <w:szCs w:val="22"/>
          <w:lang w:val="en-US"/>
        </w:rPr>
        <w:t>Ruitenbeek</w:t>
      </w:r>
      <w:proofErr w:type="spellEnd"/>
      <w:r w:rsidRPr="005028C6">
        <w:rPr>
          <w:rFonts w:asciiTheme="minorHAnsi" w:hAnsiTheme="minorHAnsi" w:cstheme="minorHAnsi"/>
          <w:sz w:val="22"/>
          <w:szCs w:val="22"/>
          <w:lang w:val="en-US"/>
        </w:rPr>
        <w:t xml:space="preserve">, G., Mulders, H., van Lierop, B. (2017). Designing Work for Inclusiveness. In: Arenas, A., Di Marco, D., </w:t>
      </w:r>
      <w:proofErr w:type="spellStart"/>
      <w:r w:rsidRPr="005028C6">
        <w:rPr>
          <w:rFonts w:asciiTheme="minorHAnsi" w:hAnsiTheme="minorHAnsi" w:cstheme="minorHAnsi"/>
          <w:sz w:val="22"/>
          <w:szCs w:val="22"/>
          <w:lang w:val="en-US"/>
        </w:rPr>
        <w:t>Munduate</w:t>
      </w:r>
      <w:proofErr w:type="spellEnd"/>
      <w:r w:rsidRPr="005028C6">
        <w:rPr>
          <w:rFonts w:asciiTheme="minorHAnsi" w:hAnsiTheme="minorHAnsi" w:cstheme="minorHAnsi"/>
          <w:sz w:val="22"/>
          <w:szCs w:val="22"/>
          <w:lang w:val="en-US"/>
        </w:rPr>
        <w:t xml:space="preserve">, L., </w:t>
      </w:r>
      <w:proofErr w:type="spellStart"/>
      <w:r w:rsidRPr="005028C6">
        <w:rPr>
          <w:rFonts w:asciiTheme="minorHAnsi" w:hAnsiTheme="minorHAnsi" w:cstheme="minorHAnsi"/>
          <w:sz w:val="22"/>
          <w:szCs w:val="22"/>
          <w:lang w:val="en-US"/>
        </w:rPr>
        <w:t>Euwema</w:t>
      </w:r>
      <w:proofErr w:type="spellEnd"/>
      <w:r w:rsidRPr="005028C6">
        <w:rPr>
          <w:rFonts w:asciiTheme="minorHAnsi" w:hAnsiTheme="minorHAnsi" w:cstheme="minorHAnsi"/>
          <w:sz w:val="22"/>
          <w:szCs w:val="22"/>
          <w:lang w:val="en-US"/>
        </w:rPr>
        <w:t xml:space="preserve">, M. (eds) </w:t>
      </w:r>
      <w:r w:rsidRPr="005028C6">
        <w:rPr>
          <w:rFonts w:asciiTheme="minorHAnsi" w:hAnsiTheme="minorHAnsi" w:cstheme="minorHAnsi"/>
          <w:i/>
          <w:sz w:val="22"/>
          <w:szCs w:val="22"/>
          <w:lang w:val="en-US"/>
        </w:rPr>
        <w:t>Shaping Inclusive Workplaces Through Social Dialogue</w:t>
      </w:r>
      <w:r w:rsidRPr="005028C6">
        <w:rPr>
          <w:rFonts w:asciiTheme="minorHAnsi" w:hAnsiTheme="minorHAnsi" w:cstheme="minorHAnsi"/>
          <w:sz w:val="22"/>
          <w:szCs w:val="22"/>
          <w:lang w:val="en-US"/>
        </w:rPr>
        <w:t xml:space="preserve">. </w:t>
      </w:r>
      <w:r w:rsidRPr="005028C6">
        <w:rPr>
          <w:rFonts w:asciiTheme="minorHAnsi" w:hAnsiTheme="minorHAnsi" w:cstheme="minorHAnsi"/>
          <w:i/>
          <w:sz w:val="22"/>
          <w:szCs w:val="22"/>
          <w:lang w:val="en-US"/>
        </w:rPr>
        <w:t>Industrial Relations &amp; Conflict Management.</w:t>
      </w:r>
      <w:r w:rsidRPr="005028C6">
        <w:rPr>
          <w:rFonts w:asciiTheme="minorHAnsi" w:hAnsiTheme="minorHAnsi" w:cstheme="minorHAnsi"/>
          <w:sz w:val="22"/>
          <w:szCs w:val="22"/>
          <w:lang w:val="en-US"/>
        </w:rPr>
        <w:t xml:space="preserve"> (pp. 121-137). Springer, </w:t>
      </w:r>
      <w:hyperlink r:id="rId49" w:history="1">
        <w:r w:rsidRPr="005028C6">
          <w:rPr>
            <w:rStyle w:val="-"/>
            <w:rFonts w:asciiTheme="minorHAnsi" w:hAnsiTheme="minorHAnsi" w:cstheme="minorHAnsi"/>
            <w:sz w:val="22"/>
            <w:szCs w:val="22"/>
            <w:lang w:val="en-US"/>
          </w:rPr>
          <w:t>https://doi.org/10.1007/978-3-319-66393-7_8</w:t>
        </w:r>
      </w:hyperlink>
      <w:r w:rsidRPr="005028C6">
        <w:rPr>
          <w:rStyle w:val="-"/>
          <w:rFonts w:asciiTheme="minorHAnsi" w:hAnsiTheme="minorHAnsi" w:cstheme="minorHAnsi"/>
          <w:sz w:val="22"/>
          <w:szCs w:val="22"/>
          <w:lang w:val="en-US"/>
        </w:rPr>
        <w:t xml:space="preserve">. </w:t>
      </w:r>
    </w:p>
    <w:p w14:paraId="1981553A" w14:textId="0E2B2518" w:rsidR="00C703F2" w:rsidRDefault="00C703F2" w:rsidP="00C703F2">
      <w:pPr>
        <w:tabs>
          <w:tab w:val="left" w:pos="7230"/>
        </w:tabs>
        <w:ind w:firstLine="567"/>
        <w:jc w:val="both"/>
        <w:rPr>
          <w:rFonts w:asciiTheme="minorHAnsi" w:hAnsiTheme="minorHAnsi" w:cstheme="minorHAnsi"/>
          <w:sz w:val="22"/>
          <w:szCs w:val="22"/>
        </w:rPr>
      </w:pPr>
      <w:proofErr w:type="spellStart"/>
      <w:r w:rsidRPr="005028C6">
        <w:rPr>
          <w:rFonts w:asciiTheme="minorHAnsi" w:hAnsiTheme="minorHAnsi" w:cstheme="minorHAnsi"/>
          <w:bCs/>
          <w:sz w:val="22"/>
          <w:szCs w:val="22"/>
        </w:rPr>
        <w:t>Μπαρμπαρούσης</w:t>
      </w:r>
      <w:proofErr w:type="spellEnd"/>
      <w:r w:rsidRPr="005028C6">
        <w:rPr>
          <w:rFonts w:asciiTheme="minorHAnsi" w:hAnsiTheme="minorHAnsi" w:cstheme="minorHAnsi"/>
          <w:bCs/>
          <w:sz w:val="22"/>
          <w:szCs w:val="22"/>
        </w:rPr>
        <w:t>,</w:t>
      </w:r>
      <w:r w:rsidRPr="005028C6">
        <w:rPr>
          <w:rFonts w:asciiTheme="minorHAnsi" w:hAnsiTheme="minorHAnsi" w:cstheme="minorHAnsi"/>
          <w:sz w:val="22"/>
          <w:szCs w:val="22"/>
        </w:rPr>
        <w:t xml:space="preserve"> </w:t>
      </w:r>
      <w:r w:rsidRPr="005028C6">
        <w:rPr>
          <w:rFonts w:asciiTheme="minorHAnsi" w:hAnsiTheme="minorHAnsi" w:cstheme="minorHAnsi"/>
          <w:bCs/>
          <w:sz w:val="22"/>
          <w:szCs w:val="22"/>
        </w:rPr>
        <w:t xml:space="preserve">Χ. </w:t>
      </w:r>
      <w:r w:rsidRPr="005028C6">
        <w:rPr>
          <w:rFonts w:asciiTheme="minorHAnsi" w:hAnsiTheme="minorHAnsi" w:cstheme="minorHAnsi"/>
          <w:sz w:val="22"/>
          <w:szCs w:val="22"/>
        </w:rPr>
        <w:t xml:space="preserve">&amp; Νικολάου, Σ.-Μ. (2018). Δημοκρατικές εκπαιδευτικές διαδικασίες και κοινωνικές τεχνολογικές εξελίξεις: εφαρμόζοντας τεχνολογίες Web. 2.0 στη διδασκαλία των μαθημάτων των Κοινωνικών Επιστημών στη δευτεροβάθμια εκπαίδευση, στο: Σ.-Μ. Νικολάου </w:t>
      </w:r>
      <w:proofErr w:type="spellStart"/>
      <w:r w:rsidRPr="005028C6">
        <w:rPr>
          <w:rFonts w:asciiTheme="minorHAnsi" w:hAnsiTheme="minorHAnsi" w:cstheme="minorHAnsi"/>
          <w:sz w:val="22"/>
          <w:szCs w:val="22"/>
        </w:rPr>
        <w:t>et</w:t>
      </w:r>
      <w:proofErr w:type="spellEnd"/>
      <w:r w:rsidRPr="005028C6">
        <w:rPr>
          <w:rFonts w:asciiTheme="minorHAnsi" w:hAnsiTheme="minorHAnsi" w:cstheme="minorHAnsi"/>
          <w:sz w:val="22"/>
          <w:szCs w:val="22"/>
        </w:rPr>
        <w:t xml:space="preserve"> </w:t>
      </w:r>
      <w:proofErr w:type="spellStart"/>
      <w:r w:rsidRPr="005028C6">
        <w:rPr>
          <w:rFonts w:asciiTheme="minorHAnsi" w:hAnsiTheme="minorHAnsi" w:cstheme="minorHAnsi"/>
          <w:sz w:val="22"/>
          <w:szCs w:val="22"/>
        </w:rPr>
        <w:t>al</w:t>
      </w:r>
      <w:proofErr w:type="spellEnd"/>
      <w:r w:rsidRPr="005028C6">
        <w:rPr>
          <w:rFonts w:asciiTheme="minorHAnsi" w:hAnsiTheme="minorHAnsi" w:cstheme="minorHAnsi"/>
          <w:sz w:val="22"/>
          <w:szCs w:val="22"/>
        </w:rPr>
        <w:t>. (</w:t>
      </w:r>
      <w:proofErr w:type="spellStart"/>
      <w:r w:rsidRPr="005028C6">
        <w:rPr>
          <w:rFonts w:asciiTheme="minorHAnsi" w:hAnsiTheme="minorHAnsi" w:cstheme="minorHAnsi"/>
          <w:sz w:val="22"/>
          <w:szCs w:val="22"/>
        </w:rPr>
        <w:t>επιμ</w:t>
      </w:r>
      <w:proofErr w:type="spellEnd"/>
      <w:r w:rsidRPr="005028C6">
        <w:rPr>
          <w:rFonts w:asciiTheme="minorHAnsi" w:hAnsiTheme="minorHAnsi" w:cstheme="minorHAnsi"/>
          <w:sz w:val="22"/>
          <w:szCs w:val="22"/>
        </w:rPr>
        <w:t xml:space="preserve">.), </w:t>
      </w:r>
      <w:r w:rsidRPr="005028C6">
        <w:rPr>
          <w:rFonts w:asciiTheme="minorHAnsi" w:hAnsiTheme="minorHAnsi" w:cstheme="minorHAnsi"/>
          <w:i/>
          <w:iCs/>
          <w:sz w:val="22"/>
          <w:szCs w:val="22"/>
        </w:rPr>
        <w:t>Νέες προκλήσεις στην εκπαίδευση και τη δημοκρατία: Κοινωνιολογικές και Παιδαγωγικές προσεγγίσεις της Δημοκρατικής Εκπαίδευσης</w:t>
      </w:r>
      <w:r w:rsidRPr="005028C6">
        <w:rPr>
          <w:rFonts w:asciiTheme="minorHAnsi" w:hAnsiTheme="minorHAnsi" w:cstheme="minorHAnsi"/>
          <w:sz w:val="22"/>
          <w:szCs w:val="22"/>
        </w:rPr>
        <w:t xml:space="preserve">, Σειρά: Κοινωνιολογία της Εκπαίδευσης, Αθήνα: </w:t>
      </w:r>
      <w:proofErr w:type="spellStart"/>
      <w:r w:rsidRPr="005028C6">
        <w:rPr>
          <w:rFonts w:asciiTheme="minorHAnsi" w:hAnsiTheme="minorHAnsi" w:cstheme="minorHAnsi"/>
          <w:sz w:val="22"/>
          <w:szCs w:val="22"/>
        </w:rPr>
        <w:t>Gutenberg</w:t>
      </w:r>
      <w:proofErr w:type="spellEnd"/>
      <w:r w:rsidRPr="005028C6">
        <w:rPr>
          <w:rFonts w:asciiTheme="minorHAnsi" w:hAnsiTheme="minorHAnsi" w:cstheme="minorHAnsi"/>
          <w:sz w:val="22"/>
          <w:szCs w:val="22"/>
        </w:rPr>
        <w:t xml:space="preserve">, </w:t>
      </w:r>
      <w:proofErr w:type="spellStart"/>
      <w:r w:rsidRPr="005028C6">
        <w:rPr>
          <w:rFonts w:asciiTheme="minorHAnsi" w:hAnsiTheme="minorHAnsi" w:cstheme="minorHAnsi"/>
          <w:sz w:val="22"/>
          <w:szCs w:val="22"/>
        </w:rPr>
        <w:t>σσ</w:t>
      </w:r>
      <w:proofErr w:type="spellEnd"/>
      <w:r w:rsidRPr="005028C6">
        <w:rPr>
          <w:rFonts w:asciiTheme="minorHAnsi" w:hAnsiTheme="minorHAnsi" w:cstheme="minorHAnsi"/>
          <w:sz w:val="22"/>
          <w:szCs w:val="22"/>
        </w:rPr>
        <w:t>. 109-149.</w:t>
      </w:r>
    </w:p>
    <w:p w14:paraId="6EAA2DA8" w14:textId="77777777" w:rsidR="00C703F2" w:rsidRPr="005028C6" w:rsidRDefault="00C703F2" w:rsidP="00C703F2">
      <w:pPr>
        <w:tabs>
          <w:tab w:val="left" w:pos="7230"/>
        </w:tabs>
        <w:ind w:firstLine="567"/>
        <w:jc w:val="both"/>
        <w:rPr>
          <w:rFonts w:asciiTheme="minorHAnsi" w:hAnsiTheme="minorHAnsi" w:cstheme="minorHAnsi"/>
          <w:sz w:val="22"/>
          <w:szCs w:val="22"/>
        </w:rPr>
      </w:pPr>
      <w:r w:rsidRPr="005028C6">
        <w:rPr>
          <w:rFonts w:asciiTheme="minorHAnsi" w:hAnsiTheme="minorHAnsi" w:cstheme="minorHAnsi"/>
          <w:sz w:val="22"/>
          <w:szCs w:val="22"/>
        </w:rPr>
        <w:t xml:space="preserve">Νικολάου, Σ.-Μ. &amp; </w:t>
      </w:r>
      <w:proofErr w:type="spellStart"/>
      <w:r w:rsidRPr="005028C6">
        <w:rPr>
          <w:rFonts w:asciiTheme="minorHAnsi" w:hAnsiTheme="minorHAnsi" w:cstheme="minorHAnsi"/>
          <w:sz w:val="22"/>
          <w:szCs w:val="22"/>
        </w:rPr>
        <w:t>Μπαρμπαρούσης</w:t>
      </w:r>
      <w:proofErr w:type="spellEnd"/>
      <w:r w:rsidRPr="005028C6">
        <w:rPr>
          <w:rFonts w:asciiTheme="minorHAnsi" w:hAnsiTheme="minorHAnsi" w:cstheme="minorHAnsi"/>
          <w:sz w:val="22"/>
          <w:szCs w:val="22"/>
        </w:rPr>
        <w:t xml:space="preserve">, Χ. (2017). </w:t>
      </w:r>
      <w:r w:rsidRPr="005028C6">
        <w:rPr>
          <w:rFonts w:asciiTheme="minorHAnsi" w:hAnsiTheme="minorHAnsi" w:cstheme="minorHAnsi"/>
          <w:i/>
          <w:sz w:val="22"/>
          <w:szCs w:val="22"/>
        </w:rPr>
        <w:t>Σύγχρονα κοινωνιολογικά ζητήματα. Η κοινωνική και πολιτική εκπαίδευση με τη χρήση των νέων τεχνολογιών</w:t>
      </w:r>
      <w:r w:rsidRPr="005028C6">
        <w:rPr>
          <w:rFonts w:asciiTheme="minorHAnsi" w:hAnsiTheme="minorHAnsi" w:cstheme="minorHAnsi"/>
          <w:sz w:val="22"/>
          <w:szCs w:val="22"/>
        </w:rPr>
        <w:t xml:space="preserve">, Αθήνα: </w:t>
      </w:r>
      <w:r w:rsidRPr="005028C6">
        <w:rPr>
          <w:rFonts w:asciiTheme="minorHAnsi" w:hAnsiTheme="minorHAnsi" w:cstheme="minorHAnsi"/>
          <w:sz w:val="22"/>
          <w:szCs w:val="22"/>
          <w:lang w:val="en-US"/>
        </w:rPr>
        <w:t>Gutenberg</w:t>
      </w:r>
      <w:r w:rsidRPr="005028C6">
        <w:rPr>
          <w:rFonts w:asciiTheme="minorHAnsi" w:hAnsiTheme="minorHAnsi" w:cstheme="minorHAnsi"/>
          <w:sz w:val="22"/>
          <w:szCs w:val="22"/>
        </w:rPr>
        <w:t>.</w:t>
      </w:r>
    </w:p>
    <w:p w14:paraId="283AB122" w14:textId="77777777" w:rsidR="00C703F2" w:rsidRPr="005028C6" w:rsidRDefault="00C703F2" w:rsidP="00C703F2">
      <w:pPr>
        <w:tabs>
          <w:tab w:val="left" w:pos="7230"/>
        </w:tabs>
        <w:ind w:firstLine="567"/>
        <w:jc w:val="both"/>
        <w:rPr>
          <w:rFonts w:asciiTheme="minorHAnsi" w:hAnsiTheme="minorHAnsi" w:cstheme="minorHAnsi"/>
          <w:sz w:val="22"/>
          <w:szCs w:val="22"/>
        </w:rPr>
      </w:pPr>
    </w:p>
    <w:p w14:paraId="39F224FA" w14:textId="77777777" w:rsidR="00C703F2" w:rsidRPr="00C703F2" w:rsidRDefault="00C703F2" w:rsidP="00C703F2"/>
    <w:bookmarkEnd w:id="5"/>
    <w:sectPr w:rsidR="00C703F2" w:rsidRPr="00C703F2" w:rsidSect="00CD0160">
      <w:type w:val="continuous"/>
      <w:pgSz w:w="11906" w:h="16838"/>
      <w:pgMar w:top="1440" w:right="1800" w:bottom="1440" w:left="1800" w:header="709" w:footer="7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5651D" w14:textId="77777777" w:rsidR="00690C4D" w:rsidRDefault="00690C4D">
      <w:r>
        <w:separator/>
      </w:r>
    </w:p>
  </w:endnote>
  <w:endnote w:type="continuationSeparator" w:id="0">
    <w:p w14:paraId="43F6F2FE" w14:textId="77777777" w:rsidR="00690C4D" w:rsidRDefault="0069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ohit Hindi">
    <w:altName w:val="Times New Roman"/>
    <w:charset w:val="01"/>
    <w:family w:val="auto"/>
    <w:pitch w:val="default"/>
  </w:font>
  <w:font w:name="Sylfaen">
    <w:panose1 w:val="010A0502050306030303"/>
    <w:charset w:val="A1"/>
    <w:family w:val="roman"/>
    <w:pitch w:val="variable"/>
    <w:sig w:usb0="040006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Times">
    <w:panose1 w:val="02020603050405020304"/>
    <w:charset w:val="A1"/>
    <w:family w:val="roman"/>
    <w:pitch w:val="variable"/>
    <w:sig w:usb0="E0002EFF" w:usb1="C000785B" w:usb2="00000009" w:usb3="00000000" w:csb0="000001FF" w:csb1="00000000"/>
  </w:font>
  <w:font w:name="FSMe-Light">
    <w:altName w:val="Cambria"/>
    <w:panose1 w:val="00000000000000000000"/>
    <w:charset w:val="00"/>
    <w:family w:val="roman"/>
    <w:notTrueType/>
    <w:pitch w:val="default"/>
  </w:font>
  <w:font w:name="FSMe-LightItalic">
    <w:altName w:val="Cambria"/>
    <w:panose1 w:val="00000000000000000000"/>
    <w:charset w:val="00"/>
    <w:family w:val="roman"/>
    <w:notTrueType/>
    <w:pitch w:val="default"/>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26F2" w14:textId="77777777" w:rsidR="00690C4D" w:rsidRDefault="00690C4D">
    <w:pPr>
      <w:pStyle w:val="ab"/>
      <w:jc w:val="center"/>
    </w:pPr>
    <w:r>
      <w:rPr>
        <w:i/>
        <w:sz w:val="18"/>
        <w:szCs w:val="18"/>
      </w:rPr>
      <w:t xml:space="preserve">Πρακτικά Εργασιών </w:t>
    </w:r>
    <w:r>
      <w:rPr>
        <w:i/>
        <w:sz w:val="18"/>
        <w:szCs w:val="18"/>
      </w:rPr>
      <w:tab/>
    </w:r>
    <w:r>
      <w:rPr>
        <w:i/>
        <w:sz w:val="18"/>
        <w:szCs w:val="18"/>
      </w:rPr>
      <w:tab/>
      <w:t>synedrio.eepek.gr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9D30" w14:textId="77777777" w:rsidR="00690C4D" w:rsidRDefault="00690C4D">
    <w:pPr>
      <w:pStyle w:val="ab"/>
      <w:jc w:val="center"/>
      <w:rPr>
        <w:i/>
        <w:sz w:val="18"/>
        <w:szCs w:val="18"/>
      </w:rPr>
    </w:pPr>
    <w:r>
      <w:rPr>
        <w:i/>
        <w:sz w:val="18"/>
        <w:szCs w:val="18"/>
      </w:rPr>
      <w:t xml:space="preserve">Πρακτικά Εργασιών </w:t>
    </w:r>
    <w:r w:rsidRPr="00A15856">
      <w:rPr>
        <w:i/>
        <w:sz w:val="18"/>
        <w:szCs w:val="18"/>
      </w:rPr>
      <w:t>3</w:t>
    </w:r>
    <w:r>
      <w:rPr>
        <w:i/>
        <w:sz w:val="18"/>
        <w:szCs w:val="18"/>
        <w:vertAlign w:val="superscript"/>
      </w:rPr>
      <w:t>ου</w:t>
    </w:r>
    <w:r>
      <w:rPr>
        <w:i/>
        <w:sz w:val="18"/>
        <w:szCs w:val="18"/>
      </w:rPr>
      <w:t xml:space="preserve"> Διεθνούς Συνεδρίου για την Προώθηση της Εκπαιδευτικής Καινοτομίας, </w:t>
    </w:r>
  </w:p>
  <w:p w14:paraId="290C26DC" w14:textId="77777777" w:rsidR="00690C4D" w:rsidRPr="00A15856" w:rsidRDefault="00690C4D">
    <w:pPr>
      <w:pStyle w:val="ab"/>
      <w:jc w:val="center"/>
    </w:pPr>
    <w:r>
      <w:rPr>
        <w:i/>
        <w:sz w:val="18"/>
        <w:szCs w:val="18"/>
      </w:rPr>
      <w:t>Λάρισα 20-22 Οκτωβρίου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FEC60" w14:textId="77777777" w:rsidR="00690C4D" w:rsidRDefault="00690C4D">
      <w:r>
        <w:separator/>
      </w:r>
    </w:p>
  </w:footnote>
  <w:footnote w:type="continuationSeparator" w:id="0">
    <w:p w14:paraId="71F19C9E" w14:textId="77777777" w:rsidR="00690C4D" w:rsidRDefault="00690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E117" w14:textId="77777777" w:rsidR="00690C4D" w:rsidRDefault="00690C4D">
    <w:pPr>
      <w:pStyle w:val="ab"/>
      <w:jc w:val="center"/>
    </w:pPr>
    <w:r>
      <w:rPr>
        <w:i/>
        <w:sz w:val="18"/>
        <w:szCs w:val="18"/>
      </w:rPr>
      <w:fldChar w:fldCharType="begin"/>
    </w:r>
    <w:r>
      <w:rPr>
        <w:i/>
        <w:sz w:val="18"/>
        <w:szCs w:val="18"/>
      </w:rPr>
      <w:instrText xml:space="preserve"> PAGE </w:instrText>
    </w:r>
    <w:r>
      <w:rPr>
        <w:i/>
        <w:sz w:val="18"/>
        <w:szCs w:val="18"/>
      </w:rPr>
      <w:fldChar w:fldCharType="separate"/>
    </w:r>
    <w:r>
      <w:rPr>
        <w:i/>
        <w:noProof/>
        <w:sz w:val="18"/>
        <w:szCs w:val="18"/>
      </w:rPr>
      <w:t>2</w:t>
    </w:r>
    <w:r>
      <w:rPr>
        <w:i/>
        <w:sz w:val="18"/>
        <w:szCs w:val="18"/>
      </w:rPr>
      <w:fldChar w:fldCharType="end"/>
    </w:r>
    <w:r>
      <w:rPr>
        <w:i/>
        <w:sz w:val="18"/>
        <w:szCs w:val="18"/>
      </w:rPr>
      <w:tab/>
      <w:t xml:space="preserve">                                             3ο Διεθνές Συνέδριο για την Προώθηση της Εκπαιδευτικής Καινοτομίας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bullet"/>
      <w:pStyle w:val="a"/>
      <w:lvlText w:val=""/>
      <w:lvlJc w:val="left"/>
      <w:pPr>
        <w:tabs>
          <w:tab w:val="num" w:pos="360"/>
        </w:tabs>
        <w:ind w:left="0" w:firstLine="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 w15:restartNumberingAfterBreak="0">
    <w:nsid w:val="0ECB3257"/>
    <w:multiLevelType w:val="hybridMultilevel"/>
    <w:tmpl w:val="C5D4DCB6"/>
    <w:lvl w:ilvl="0" w:tplc="E5B02100">
      <w:start w:val="1"/>
      <w:numFmt w:val="bullet"/>
      <w:pStyle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4BB4C69"/>
    <w:multiLevelType w:val="multilevel"/>
    <w:tmpl w:val="244A6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4C3E9D"/>
    <w:multiLevelType w:val="hybridMultilevel"/>
    <w:tmpl w:val="9EDE4B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6F569F9"/>
    <w:multiLevelType w:val="hybridMultilevel"/>
    <w:tmpl w:val="7E8C5596"/>
    <w:lvl w:ilvl="0" w:tplc="A6C6A58C">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51072FCA"/>
    <w:multiLevelType w:val="multilevel"/>
    <w:tmpl w:val="45E6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F0016C"/>
    <w:multiLevelType w:val="hybridMultilevel"/>
    <w:tmpl w:val="67B0341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621104AB"/>
    <w:multiLevelType w:val="hybridMultilevel"/>
    <w:tmpl w:val="F16691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FFD15BD"/>
    <w:multiLevelType w:val="hybridMultilevel"/>
    <w:tmpl w:val="4A16A69C"/>
    <w:lvl w:ilvl="0" w:tplc="0408000F">
      <w:start w:val="1"/>
      <w:numFmt w:val="decimal"/>
      <w:lvlText w:val="%1."/>
      <w:lvlJc w:val="left"/>
      <w:pPr>
        <w:ind w:left="720" w:hanging="360"/>
      </w:p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703F6730"/>
    <w:multiLevelType w:val="hybridMultilevel"/>
    <w:tmpl w:val="E7427C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2"/>
  </w:num>
  <w:num w:numId="32">
    <w:abstractNumId w:val="9"/>
    <w:lvlOverride w:ilvl="0">
      <w:startOverride w:val="1"/>
    </w:lvlOverride>
    <w:lvlOverride w:ilvl="1"/>
    <w:lvlOverride w:ilvl="2"/>
    <w:lvlOverride w:ilvl="3"/>
    <w:lvlOverride w:ilvl="4"/>
    <w:lvlOverride w:ilvl="5"/>
    <w:lvlOverride w:ilvl="6"/>
    <w:lvlOverride w:ilvl="7"/>
    <w:lvlOverride w:ilvl="8"/>
  </w:num>
  <w:num w:numId="33">
    <w:abstractNumId w:val="6"/>
  </w:num>
  <w:num w:numId="34">
    <w:abstractNumId w:val="3"/>
  </w:num>
  <w:num w:numId="35">
    <w:abstractNumId w:val="5"/>
  </w:num>
  <w:num w:numId="36">
    <w:abstractNumId w:val="4"/>
  </w:num>
  <w:num w:numId="37">
    <w:abstractNumId w:val="7"/>
  </w:num>
  <w:num w:numId="38">
    <w:abstractNumId w:val="8"/>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1F"/>
    <w:rsid w:val="000016A7"/>
    <w:rsid w:val="00001BAC"/>
    <w:rsid w:val="00004590"/>
    <w:rsid w:val="00032498"/>
    <w:rsid w:val="00053828"/>
    <w:rsid w:val="0005580D"/>
    <w:rsid w:val="000651ED"/>
    <w:rsid w:val="00076071"/>
    <w:rsid w:val="00090621"/>
    <w:rsid w:val="000A43D9"/>
    <w:rsid w:val="000B02E8"/>
    <w:rsid w:val="000D55E1"/>
    <w:rsid w:val="000E51EC"/>
    <w:rsid w:val="000F192F"/>
    <w:rsid w:val="001040CC"/>
    <w:rsid w:val="00104E1F"/>
    <w:rsid w:val="001062F9"/>
    <w:rsid w:val="001312DF"/>
    <w:rsid w:val="0014214C"/>
    <w:rsid w:val="0014704A"/>
    <w:rsid w:val="00190962"/>
    <w:rsid w:val="001921D6"/>
    <w:rsid w:val="0019503A"/>
    <w:rsid w:val="001D54B9"/>
    <w:rsid w:val="001D7392"/>
    <w:rsid w:val="001F168E"/>
    <w:rsid w:val="0020270B"/>
    <w:rsid w:val="00211A46"/>
    <w:rsid w:val="002611F5"/>
    <w:rsid w:val="00261B57"/>
    <w:rsid w:val="0026520E"/>
    <w:rsid w:val="00271EBA"/>
    <w:rsid w:val="00280FC0"/>
    <w:rsid w:val="002C58F0"/>
    <w:rsid w:val="002C6CEC"/>
    <w:rsid w:val="002D34D6"/>
    <w:rsid w:val="002D57F1"/>
    <w:rsid w:val="002F2139"/>
    <w:rsid w:val="00324DE6"/>
    <w:rsid w:val="00326CC1"/>
    <w:rsid w:val="0035237D"/>
    <w:rsid w:val="0035481F"/>
    <w:rsid w:val="003B709C"/>
    <w:rsid w:val="003C2864"/>
    <w:rsid w:val="0040261D"/>
    <w:rsid w:val="004309A3"/>
    <w:rsid w:val="00432230"/>
    <w:rsid w:val="0043631E"/>
    <w:rsid w:val="00445B43"/>
    <w:rsid w:val="0044662E"/>
    <w:rsid w:val="0045391B"/>
    <w:rsid w:val="004821E2"/>
    <w:rsid w:val="004B3BB8"/>
    <w:rsid w:val="00501409"/>
    <w:rsid w:val="005028C6"/>
    <w:rsid w:val="00503C1B"/>
    <w:rsid w:val="005473A5"/>
    <w:rsid w:val="00581EF6"/>
    <w:rsid w:val="00595611"/>
    <w:rsid w:val="005D63A7"/>
    <w:rsid w:val="005E667D"/>
    <w:rsid w:val="005E69B4"/>
    <w:rsid w:val="005F1D8C"/>
    <w:rsid w:val="005F3E50"/>
    <w:rsid w:val="00603791"/>
    <w:rsid w:val="006135D5"/>
    <w:rsid w:val="006156D1"/>
    <w:rsid w:val="00624CC0"/>
    <w:rsid w:val="00631F80"/>
    <w:rsid w:val="006329C2"/>
    <w:rsid w:val="00632CDD"/>
    <w:rsid w:val="00646244"/>
    <w:rsid w:val="006469AF"/>
    <w:rsid w:val="006501FF"/>
    <w:rsid w:val="006628B5"/>
    <w:rsid w:val="006832BB"/>
    <w:rsid w:val="00690C4D"/>
    <w:rsid w:val="006A2B2B"/>
    <w:rsid w:val="006A60CE"/>
    <w:rsid w:val="006B66C7"/>
    <w:rsid w:val="006C42FD"/>
    <w:rsid w:val="006E0797"/>
    <w:rsid w:val="006E15AF"/>
    <w:rsid w:val="00706A43"/>
    <w:rsid w:val="00716458"/>
    <w:rsid w:val="00737E8B"/>
    <w:rsid w:val="0075548A"/>
    <w:rsid w:val="00762A32"/>
    <w:rsid w:val="00775053"/>
    <w:rsid w:val="00775DA4"/>
    <w:rsid w:val="00777099"/>
    <w:rsid w:val="0077786E"/>
    <w:rsid w:val="0079501B"/>
    <w:rsid w:val="007B4619"/>
    <w:rsid w:val="007B5420"/>
    <w:rsid w:val="007B78A6"/>
    <w:rsid w:val="007D296A"/>
    <w:rsid w:val="007F0059"/>
    <w:rsid w:val="007F303C"/>
    <w:rsid w:val="0081422F"/>
    <w:rsid w:val="0083078E"/>
    <w:rsid w:val="00834552"/>
    <w:rsid w:val="00851870"/>
    <w:rsid w:val="00867509"/>
    <w:rsid w:val="00877AF1"/>
    <w:rsid w:val="008D0A74"/>
    <w:rsid w:val="0090168B"/>
    <w:rsid w:val="00923210"/>
    <w:rsid w:val="00927A59"/>
    <w:rsid w:val="00927C3E"/>
    <w:rsid w:val="0096029A"/>
    <w:rsid w:val="009761A4"/>
    <w:rsid w:val="0098184D"/>
    <w:rsid w:val="00997CA2"/>
    <w:rsid w:val="009A2319"/>
    <w:rsid w:val="009A4AB2"/>
    <w:rsid w:val="009A600E"/>
    <w:rsid w:val="00A14927"/>
    <w:rsid w:val="00A15856"/>
    <w:rsid w:val="00A274C2"/>
    <w:rsid w:val="00A33E1E"/>
    <w:rsid w:val="00A365A2"/>
    <w:rsid w:val="00A4696A"/>
    <w:rsid w:val="00A52C3B"/>
    <w:rsid w:val="00A73EDA"/>
    <w:rsid w:val="00A9210C"/>
    <w:rsid w:val="00AD310B"/>
    <w:rsid w:val="00AE4D5B"/>
    <w:rsid w:val="00B30FAF"/>
    <w:rsid w:val="00B41324"/>
    <w:rsid w:val="00B42BCF"/>
    <w:rsid w:val="00B46CA8"/>
    <w:rsid w:val="00B618CF"/>
    <w:rsid w:val="00B73A37"/>
    <w:rsid w:val="00B93615"/>
    <w:rsid w:val="00BA44F5"/>
    <w:rsid w:val="00BB19DD"/>
    <w:rsid w:val="00BD29CB"/>
    <w:rsid w:val="00BD3BED"/>
    <w:rsid w:val="00BE2694"/>
    <w:rsid w:val="00BF1599"/>
    <w:rsid w:val="00C0436D"/>
    <w:rsid w:val="00C16CD1"/>
    <w:rsid w:val="00C26BF6"/>
    <w:rsid w:val="00C3565E"/>
    <w:rsid w:val="00C42B37"/>
    <w:rsid w:val="00C52BC7"/>
    <w:rsid w:val="00C56CE5"/>
    <w:rsid w:val="00C703F2"/>
    <w:rsid w:val="00C84D43"/>
    <w:rsid w:val="00CA1B64"/>
    <w:rsid w:val="00CA27E4"/>
    <w:rsid w:val="00CB2A64"/>
    <w:rsid w:val="00CB71D6"/>
    <w:rsid w:val="00CD0160"/>
    <w:rsid w:val="00CD4E24"/>
    <w:rsid w:val="00CE46EA"/>
    <w:rsid w:val="00CE4DF4"/>
    <w:rsid w:val="00CF18DD"/>
    <w:rsid w:val="00CF2E39"/>
    <w:rsid w:val="00CF7EBD"/>
    <w:rsid w:val="00D018E9"/>
    <w:rsid w:val="00D072CA"/>
    <w:rsid w:val="00D33F3F"/>
    <w:rsid w:val="00D42432"/>
    <w:rsid w:val="00D66AB1"/>
    <w:rsid w:val="00D72C06"/>
    <w:rsid w:val="00D72C9F"/>
    <w:rsid w:val="00DA7CA4"/>
    <w:rsid w:val="00DB5DA1"/>
    <w:rsid w:val="00DD2E38"/>
    <w:rsid w:val="00DD5662"/>
    <w:rsid w:val="00DF61EF"/>
    <w:rsid w:val="00DF6DCD"/>
    <w:rsid w:val="00E03EEC"/>
    <w:rsid w:val="00E1458B"/>
    <w:rsid w:val="00E64F72"/>
    <w:rsid w:val="00E70830"/>
    <w:rsid w:val="00E91AED"/>
    <w:rsid w:val="00E97D54"/>
    <w:rsid w:val="00EA1324"/>
    <w:rsid w:val="00ED00FB"/>
    <w:rsid w:val="00ED0A98"/>
    <w:rsid w:val="00ED2CD3"/>
    <w:rsid w:val="00EE18ED"/>
    <w:rsid w:val="00EE3181"/>
    <w:rsid w:val="00EE4E9A"/>
    <w:rsid w:val="00EF3351"/>
    <w:rsid w:val="00F11007"/>
    <w:rsid w:val="00F34F36"/>
    <w:rsid w:val="00F54280"/>
    <w:rsid w:val="00F607E0"/>
    <w:rsid w:val="00F63962"/>
    <w:rsid w:val="00F87EBB"/>
    <w:rsid w:val="00F97117"/>
    <w:rsid w:val="00FA73A2"/>
    <w:rsid w:val="00FB5C73"/>
    <w:rsid w:val="00FC1220"/>
    <w:rsid w:val="00FD7B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8A112D"/>
  <w15:chartTrackingRefBased/>
  <w15:docId w15:val="{717B4F79-FA25-4794-8182-354C4F26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uppressAutoHyphens/>
    </w:pPr>
    <w:rPr>
      <w:szCs w:val="24"/>
      <w:lang w:eastAsia="zh-CN"/>
    </w:rPr>
  </w:style>
  <w:style w:type="paragraph" w:styleId="1">
    <w:name w:val="heading 1"/>
    <w:basedOn w:val="a0"/>
    <w:next w:val="a0"/>
    <w:qFormat/>
    <w:pPr>
      <w:keepNext/>
      <w:numPr>
        <w:numId w:val="1"/>
      </w:numPr>
      <w:jc w:val="both"/>
      <w:outlineLvl w:val="0"/>
    </w:pPr>
    <w:rPr>
      <w:rFonts w:ascii="Cambria" w:hAnsi="Cambria"/>
      <w:sz w:val="24"/>
    </w:rPr>
  </w:style>
  <w:style w:type="paragraph" w:styleId="2">
    <w:name w:val="heading 2"/>
    <w:basedOn w:val="a0"/>
    <w:next w:val="a0"/>
    <w:qFormat/>
    <w:pPr>
      <w:keepNext/>
      <w:numPr>
        <w:ilvl w:val="1"/>
        <w:numId w:val="1"/>
      </w:numPr>
      <w:outlineLvl w:val="1"/>
    </w:pPr>
    <w:rPr>
      <w:rFonts w:ascii="Cambria" w:hAnsi="Cambria"/>
      <w:sz w:val="24"/>
    </w:rPr>
  </w:style>
  <w:style w:type="paragraph" w:styleId="3">
    <w:name w:val="heading 3"/>
    <w:basedOn w:val="a0"/>
    <w:next w:val="a0"/>
    <w:qFormat/>
    <w:pPr>
      <w:keepNext/>
      <w:numPr>
        <w:ilvl w:val="2"/>
        <w:numId w:val="1"/>
      </w:numPr>
      <w:outlineLvl w:val="2"/>
    </w:pPr>
    <w:rPr>
      <w:rFonts w:ascii="Cambria" w:hAnsi="Cambria"/>
      <w:sz w:val="24"/>
    </w:rPr>
  </w:style>
  <w:style w:type="paragraph" w:styleId="4">
    <w:name w:val="heading 4"/>
    <w:basedOn w:val="a0"/>
    <w:next w:val="a0"/>
    <w:qFormat/>
    <w:pPr>
      <w:keepNext/>
      <w:numPr>
        <w:ilvl w:val="3"/>
        <w:numId w:val="1"/>
      </w:numPr>
      <w:outlineLvl w:val="3"/>
    </w:pPr>
    <w:rPr>
      <w:rFonts w:ascii="Cambria" w:hAnsi="Cambria"/>
      <w:sz w:val="24"/>
    </w:rPr>
  </w:style>
  <w:style w:type="paragraph" w:styleId="5">
    <w:name w:val="heading 5"/>
    <w:basedOn w:val="a0"/>
    <w:next w:val="a0"/>
    <w:qFormat/>
    <w:pPr>
      <w:keepNext/>
      <w:numPr>
        <w:ilvl w:val="4"/>
        <w:numId w:val="1"/>
      </w:numPr>
      <w:jc w:val="center"/>
      <w:outlineLvl w:val="4"/>
    </w:pPr>
    <w:rPr>
      <w:rFonts w:ascii="Cambria" w:hAnsi="Cambria"/>
      <w:sz w:val="24"/>
    </w:rPr>
  </w:style>
  <w:style w:type="paragraph" w:styleId="6">
    <w:name w:val="heading 6"/>
    <w:basedOn w:val="a0"/>
    <w:next w:val="a0"/>
    <w:qFormat/>
    <w:pPr>
      <w:keepNext/>
      <w:numPr>
        <w:ilvl w:val="5"/>
        <w:numId w:val="1"/>
      </w:numPr>
      <w:spacing w:after="120"/>
      <w:jc w:val="center"/>
      <w:outlineLvl w:val="5"/>
    </w:pPr>
    <w:rPr>
      <w:rFonts w:ascii="Cambria" w:hAnsi="Cambria"/>
      <w:sz w:val="24"/>
    </w:rPr>
  </w:style>
  <w:style w:type="paragraph" w:styleId="7">
    <w:name w:val="heading 7"/>
    <w:basedOn w:val="a0"/>
    <w:next w:val="a0"/>
    <w:qFormat/>
    <w:pPr>
      <w:numPr>
        <w:ilvl w:val="6"/>
        <w:numId w:val="1"/>
      </w:numPr>
      <w:spacing w:before="240" w:after="60"/>
      <w:outlineLvl w:val="6"/>
    </w:pPr>
    <w:rPr>
      <w:rFonts w:ascii="Cambria" w:hAnsi="Cambria"/>
      <w:sz w:val="24"/>
    </w:rPr>
  </w:style>
  <w:style w:type="paragraph" w:styleId="8">
    <w:name w:val="heading 8"/>
    <w:basedOn w:val="a0"/>
    <w:next w:val="a0"/>
    <w:qFormat/>
    <w:pPr>
      <w:numPr>
        <w:ilvl w:val="7"/>
        <w:numId w:val="1"/>
      </w:numPr>
      <w:spacing w:before="240" w:after="60"/>
      <w:outlineLvl w:val="7"/>
    </w:pPr>
    <w:rPr>
      <w:rFonts w:ascii="Cambria" w:hAnsi="Cambria"/>
      <w:sz w:val="24"/>
    </w:rPr>
  </w:style>
  <w:style w:type="paragraph" w:styleId="9">
    <w:name w:val="heading 9"/>
    <w:basedOn w:val="a0"/>
    <w:next w:val="a0"/>
    <w:qFormat/>
    <w:pPr>
      <w:numPr>
        <w:ilvl w:val="8"/>
        <w:numId w:val="1"/>
      </w:numPr>
      <w:spacing w:before="240" w:after="60"/>
      <w:outlineLvl w:val="8"/>
    </w:pPr>
    <w:rPr>
      <w:rFonts w:ascii="Cambria" w:hAnsi="Cambria"/>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cs="Symbol" w:hint="default"/>
      <w:sz w:val="18"/>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sz w:val="18"/>
    </w:rPr>
  </w:style>
  <w:style w:type="character" w:customStyle="1" w:styleId="WW8Num2z1">
    <w:name w:val="WW8Num2z1"/>
    <w:rPr>
      <w:rFonts w:cs="Times New Roman"/>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10">
    <w:name w:val="Προεπιλεγμένη γραμματοσειρά1"/>
  </w:style>
  <w:style w:type="character" w:customStyle="1" w:styleId="spelle">
    <w:name w:val="spelle"/>
    <w:rPr>
      <w:rFonts w:cs="Times New Roman"/>
    </w:rPr>
  </w:style>
  <w:style w:type="character" w:styleId="-">
    <w:name w:val="Hyperlink"/>
    <w:rPr>
      <w:rFonts w:cs="Times New Roman"/>
      <w:color w:val="0000FF"/>
      <w:u w:val="single"/>
    </w:rPr>
  </w:style>
  <w:style w:type="character" w:customStyle="1" w:styleId="BodyTextIndentChar">
    <w:name w:val="Body Text Indent Char"/>
    <w:rPr>
      <w:rFonts w:cs="Times New Roman"/>
      <w:sz w:val="24"/>
      <w:szCs w:val="24"/>
    </w:rPr>
  </w:style>
  <w:style w:type="character" w:customStyle="1" w:styleId="11">
    <w:name w:val="Παραπομπή σχολίου1"/>
    <w:rPr>
      <w:rFonts w:cs="Times New Roman"/>
      <w:sz w:val="16"/>
    </w:rPr>
  </w:style>
  <w:style w:type="character" w:customStyle="1" w:styleId="1Char">
    <w:name w:val="Επικεφαλίδα 1 Char"/>
    <w:rPr>
      <w:rFonts w:ascii="Cambria" w:hAnsi="Cambria" w:cs="Times New Roman"/>
      <w:sz w:val="24"/>
      <w:szCs w:val="24"/>
    </w:rPr>
  </w:style>
  <w:style w:type="character" w:styleId="a4">
    <w:name w:val="page number"/>
    <w:rPr>
      <w:rFonts w:cs="Times New Roman"/>
    </w:rPr>
  </w:style>
  <w:style w:type="character" w:customStyle="1" w:styleId="m">
    <w:name w:val="m"/>
    <w:rPr>
      <w:rFonts w:cs="Times New Roman"/>
    </w:rPr>
  </w:style>
  <w:style w:type="character" w:styleId="a5">
    <w:name w:val="Strong"/>
    <w:uiPriority w:val="22"/>
    <w:qFormat/>
    <w:rPr>
      <w:rFonts w:cs="Times New Roman"/>
      <w:b/>
    </w:rPr>
  </w:style>
  <w:style w:type="character" w:customStyle="1" w:styleId="grame">
    <w:name w:val="grame"/>
    <w:rPr>
      <w:rFonts w:cs="Times New Roman"/>
    </w:rPr>
  </w:style>
  <w:style w:type="character" w:customStyle="1" w:styleId="Char">
    <w:name w:val="Υποσέλιδο Char"/>
    <w:rPr>
      <w:rFonts w:ascii="Cambria" w:hAnsi="Cambria" w:cs="Cambria"/>
      <w:sz w:val="24"/>
      <w:szCs w:val="24"/>
      <w:lang w:val="el-GR"/>
    </w:rPr>
  </w:style>
  <w:style w:type="character" w:customStyle="1" w:styleId="Char0">
    <w:name w:val="Κεφαλίδα Char"/>
    <w:rPr>
      <w:rFonts w:ascii="Cambria" w:hAnsi="Cambria" w:cs="Cambria"/>
      <w:sz w:val="24"/>
      <w:szCs w:val="24"/>
    </w:rPr>
  </w:style>
  <w:style w:type="paragraph" w:customStyle="1" w:styleId="a6">
    <w:name w:val="Επικεφαλίδα"/>
    <w:basedOn w:val="a0"/>
    <w:next w:val="a7"/>
    <w:pPr>
      <w:jc w:val="center"/>
    </w:pPr>
    <w:rPr>
      <w:rFonts w:ascii="Cambria" w:hAnsi="Cambria"/>
      <w:sz w:val="24"/>
    </w:rPr>
  </w:style>
  <w:style w:type="paragraph" w:styleId="a7">
    <w:name w:val="Body Text"/>
    <w:basedOn w:val="a0"/>
    <w:pPr>
      <w:spacing w:after="120" w:line="360" w:lineRule="auto"/>
      <w:ind w:firstLine="284"/>
      <w:jc w:val="both"/>
    </w:pPr>
    <w:rPr>
      <w:rFonts w:ascii="Cambria" w:hAnsi="Cambria"/>
      <w:sz w:val="24"/>
    </w:rPr>
  </w:style>
  <w:style w:type="paragraph" w:styleId="a8">
    <w:name w:val="List"/>
    <w:basedOn w:val="a7"/>
    <w:rPr>
      <w:rFonts w:cs="Lohit Hindi"/>
    </w:rPr>
  </w:style>
  <w:style w:type="paragraph" w:styleId="a9">
    <w:name w:val="caption"/>
    <w:basedOn w:val="a0"/>
    <w:uiPriority w:val="35"/>
    <w:qFormat/>
    <w:pPr>
      <w:suppressLineNumbers/>
      <w:spacing w:before="120" w:after="120"/>
    </w:pPr>
    <w:rPr>
      <w:rFonts w:cs="Lohit Hindi"/>
      <w:i/>
      <w:iCs/>
      <w:sz w:val="24"/>
    </w:rPr>
  </w:style>
  <w:style w:type="paragraph" w:customStyle="1" w:styleId="aa">
    <w:name w:val="Ευρετήριο"/>
    <w:basedOn w:val="a0"/>
    <w:pPr>
      <w:suppressLineNumbers/>
    </w:pPr>
    <w:rPr>
      <w:rFonts w:cs="Lohit Hindi"/>
    </w:rPr>
  </w:style>
  <w:style w:type="paragraph" w:styleId="ab">
    <w:name w:val="footer"/>
    <w:basedOn w:val="a0"/>
    <w:pPr>
      <w:tabs>
        <w:tab w:val="center" w:pos="4153"/>
        <w:tab w:val="right" w:pos="8306"/>
      </w:tabs>
    </w:pPr>
    <w:rPr>
      <w:rFonts w:ascii="Cambria" w:hAnsi="Cambria"/>
      <w:sz w:val="24"/>
    </w:rPr>
  </w:style>
  <w:style w:type="paragraph" w:customStyle="1" w:styleId="Default">
    <w:name w:val="Default"/>
    <w:pPr>
      <w:suppressAutoHyphens/>
      <w:autoSpaceDE w:val="0"/>
    </w:pPr>
    <w:rPr>
      <w:color w:val="000000"/>
      <w:sz w:val="24"/>
      <w:szCs w:val="24"/>
      <w:lang w:val="en-US" w:eastAsia="zh-CN"/>
    </w:rPr>
  </w:style>
  <w:style w:type="paragraph" w:styleId="ac">
    <w:name w:val="Subtitle"/>
    <w:basedOn w:val="a0"/>
    <w:next w:val="a7"/>
    <w:qFormat/>
    <w:pPr>
      <w:ind w:firstLine="340"/>
      <w:jc w:val="center"/>
    </w:pPr>
    <w:rPr>
      <w:rFonts w:ascii="Cambria" w:hAnsi="Cambria" w:cs="Cambria"/>
      <w:sz w:val="24"/>
      <w:lang w:val="x-none"/>
    </w:rPr>
  </w:style>
  <w:style w:type="paragraph" w:customStyle="1" w:styleId="31">
    <w:name w:val="Σώμα κείμενου 31"/>
    <w:basedOn w:val="a0"/>
    <w:pPr>
      <w:jc w:val="both"/>
    </w:pPr>
    <w:rPr>
      <w:rFonts w:ascii="Cambria" w:hAnsi="Cambria"/>
      <w:sz w:val="24"/>
    </w:rPr>
  </w:style>
  <w:style w:type="paragraph" w:customStyle="1" w:styleId="References">
    <w:name w:val="References"/>
    <w:basedOn w:val="a0"/>
    <w:pPr>
      <w:spacing w:after="120"/>
      <w:ind w:left="360" w:hanging="360"/>
    </w:pPr>
    <w:rPr>
      <w:lang w:val="en-US"/>
    </w:rPr>
  </w:style>
  <w:style w:type="paragraph" w:customStyle="1" w:styleId="CaptionFiguresTables">
    <w:name w:val="Caption Figures/Tables"/>
    <w:basedOn w:val="a0"/>
    <w:pPr>
      <w:spacing w:before="120" w:after="120"/>
      <w:jc w:val="center"/>
    </w:pPr>
    <w:rPr>
      <w:sz w:val="18"/>
      <w:lang w:val="en-US"/>
    </w:rPr>
  </w:style>
  <w:style w:type="paragraph" w:styleId="Web">
    <w:name w:val="Normal (Web)"/>
    <w:basedOn w:val="a0"/>
    <w:uiPriority w:val="99"/>
    <w:pPr>
      <w:spacing w:before="280" w:after="280"/>
    </w:pPr>
    <w:rPr>
      <w:sz w:val="24"/>
      <w:lang w:val="en-GB"/>
    </w:rPr>
  </w:style>
  <w:style w:type="paragraph" w:styleId="ad">
    <w:name w:val="Body Text Indent"/>
    <w:basedOn w:val="a0"/>
    <w:pPr>
      <w:jc w:val="both"/>
    </w:pPr>
    <w:rPr>
      <w:rFonts w:ascii="Cambria" w:hAnsi="Cambria"/>
      <w:sz w:val="24"/>
    </w:rPr>
  </w:style>
  <w:style w:type="paragraph" w:styleId="ae">
    <w:name w:val="header"/>
    <w:basedOn w:val="a0"/>
    <w:pPr>
      <w:tabs>
        <w:tab w:val="center" w:pos="4153"/>
        <w:tab w:val="right" w:pos="8306"/>
      </w:tabs>
    </w:pPr>
    <w:rPr>
      <w:rFonts w:ascii="Cambria" w:hAnsi="Cambria"/>
      <w:sz w:val="24"/>
    </w:rPr>
  </w:style>
  <w:style w:type="paragraph" w:customStyle="1" w:styleId="12">
    <w:name w:val="Λεζάντα1"/>
    <w:basedOn w:val="a0"/>
    <w:next w:val="a0"/>
    <w:pPr>
      <w:jc w:val="both"/>
    </w:pPr>
    <w:rPr>
      <w:rFonts w:ascii="Sylfaen" w:hAnsi="Sylfaen" w:cs="Sylfaen"/>
      <w:b/>
      <w:bCs/>
      <w:szCs w:val="20"/>
    </w:rPr>
  </w:style>
  <w:style w:type="paragraph" w:customStyle="1" w:styleId="af">
    <w:name w:val="Σώμα κείμενου"/>
    <w:basedOn w:val="Default"/>
    <w:next w:val="Default"/>
    <w:rPr>
      <w:color w:val="auto"/>
    </w:rPr>
  </w:style>
  <w:style w:type="paragraph" w:customStyle="1" w:styleId="13">
    <w:name w:val="Τμήμα κειμένου1"/>
    <w:basedOn w:val="a0"/>
    <w:pPr>
      <w:ind w:left="240" w:right="-1" w:hanging="240"/>
      <w:jc w:val="both"/>
    </w:pPr>
    <w:rPr>
      <w:lang w:val="en-US"/>
    </w:rPr>
  </w:style>
  <w:style w:type="paragraph" w:customStyle="1" w:styleId="BodyTextIndent858D7CFB-ED40-4347-BF05-701D383B685F858D7CFB-ED40-4347-BF05-701D383B685F">
    <w:name w:val="Body Text Indent{858D7CFB-ED40-4347-BF05-701D383B685F}{858D7CFB-ED40-4347-BF05-701D383B685F}"/>
    <w:basedOn w:val="a0"/>
    <w:pPr>
      <w:ind w:firstLine="720"/>
      <w:jc w:val="both"/>
    </w:pPr>
    <w:rPr>
      <w:sz w:val="24"/>
      <w:lang w:val="x-none"/>
    </w:rPr>
  </w:style>
  <w:style w:type="paragraph" w:customStyle="1" w:styleId="21">
    <w:name w:val="Σώμα κείμενου με εσοχή 21"/>
    <w:basedOn w:val="a0"/>
    <w:pPr>
      <w:ind w:firstLine="720"/>
      <w:jc w:val="both"/>
    </w:pPr>
    <w:rPr>
      <w:rFonts w:ascii="Cambria" w:hAnsi="Cambria"/>
      <w:sz w:val="24"/>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w:hAnsi="Cambria"/>
      <w:sz w:val="24"/>
    </w:rPr>
  </w:style>
  <w:style w:type="paragraph" w:customStyle="1" w:styleId="af0">
    <w:name w:val="κείμενο"/>
    <w:basedOn w:val="a0"/>
    <w:pPr>
      <w:ind w:firstLine="240"/>
    </w:pPr>
    <w:rPr>
      <w:rFonts w:ascii="Book Antiqua" w:hAnsi="Book Antiqua" w:cs="Book Antiqua"/>
      <w:bCs/>
      <w:sz w:val="18"/>
      <w:szCs w:val="18"/>
    </w:rPr>
  </w:style>
  <w:style w:type="paragraph" w:styleId="af1">
    <w:name w:val="Balloon Text"/>
    <w:basedOn w:val="a0"/>
    <w:rPr>
      <w:rFonts w:ascii="Cambria" w:hAnsi="Cambria"/>
      <w:sz w:val="24"/>
    </w:rPr>
  </w:style>
  <w:style w:type="paragraph" w:customStyle="1" w:styleId="a">
    <w:name w:val="Επιτεύγματα"/>
    <w:basedOn w:val="a0"/>
    <w:pPr>
      <w:numPr>
        <w:numId w:val="2"/>
      </w:numPr>
      <w:tabs>
        <w:tab w:val="left" w:pos="360"/>
      </w:tabs>
    </w:pPr>
    <w:rPr>
      <w:sz w:val="24"/>
    </w:rPr>
  </w:style>
  <w:style w:type="paragraph" w:customStyle="1" w:styleId="310">
    <w:name w:val="Σώμα κείμενου με εσοχή 31"/>
    <w:basedOn w:val="a0"/>
    <w:pPr>
      <w:ind w:right="-58" w:firstLine="720"/>
      <w:jc w:val="both"/>
    </w:pPr>
    <w:rPr>
      <w:rFonts w:ascii="Cambria" w:hAnsi="Cambria"/>
      <w:sz w:val="24"/>
    </w:rPr>
  </w:style>
  <w:style w:type="paragraph" w:customStyle="1" w:styleId="Paragraphe">
    <w:name w:val="Paragraphe"/>
    <w:basedOn w:val="a0"/>
    <w:pPr>
      <w:spacing w:after="240"/>
      <w:jc w:val="both"/>
    </w:pPr>
    <w:rPr>
      <w:rFonts w:ascii="Times" w:hAnsi="Times" w:cs="Times"/>
      <w:szCs w:val="20"/>
      <w:lang w:val="fr-FR"/>
    </w:rPr>
  </w:style>
  <w:style w:type="paragraph" w:customStyle="1" w:styleId="af2">
    <w:name w:val="Αναφορές"/>
    <w:basedOn w:val="a0"/>
    <w:pPr>
      <w:jc w:val="both"/>
    </w:pPr>
    <w:rPr>
      <w:szCs w:val="20"/>
    </w:rPr>
  </w:style>
  <w:style w:type="paragraph" w:customStyle="1" w:styleId="af3">
    <w:name w:val="Περιεχόμενα πίνακα"/>
    <w:basedOn w:val="a0"/>
    <w:pPr>
      <w:suppressLineNumbers/>
    </w:pPr>
  </w:style>
  <w:style w:type="paragraph" w:customStyle="1" w:styleId="af4">
    <w:name w:val="Επικεφαλίδα πίνακα"/>
    <w:basedOn w:val="af3"/>
    <w:pPr>
      <w:jc w:val="center"/>
    </w:pPr>
    <w:rPr>
      <w:b/>
      <w:bCs/>
    </w:rPr>
  </w:style>
  <w:style w:type="paragraph" w:customStyle="1" w:styleId="af5">
    <w:name w:val="Κεφαλίδα αριστερά"/>
    <w:basedOn w:val="a0"/>
    <w:pPr>
      <w:suppressLineNumbers/>
      <w:tabs>
        <w:tab w:val="center" w:pos="4365"/>
        <w:tab w:val="right" w:pos="8730"/>
      </w:tabs>
    </w:pPr>
  </w:style>
  <w:style w:type="character" w:styleId="af6">
    <w:name w:val="Emphasis"/>
    <w:uiPriority w:val="20"/>
    <w:qFormat/>
    <w:rsid w:val="0026520E"/>
    <w:rPr>
      <w:i/>
      <w:iCs/>
    </w:rPr>
  </w:style>
  <w:style w:type="character" w:customStyle="1" w:styleId="BulletChar">
    <w:name w:val="Bullet Char"/>
    <w:link w:val="Bullet"/>
    <w:locked/>
    <w:rsid w:val="00B30FAF"/>
    <w:rPr>
      <w:sz w:val="24"/>
      <w:szCs w:val="24"/>
      <w:lang w:val="x-none" w:eastAsia="x-none"/>
    </w:rPr>
  </w:style>
  <w:style w:type="paragraph" w:customStyle="1" w:styleId="Bullet">
    <w:name w:val="Bullet"/>
    <w:basedOn w:val="a0"/>
    <w:link w:val="BulletChar"/>
    <w:qFormat/>
    <w:rsid w:val="00B30FAF"/>
    <w:pPr>
      <w:numPr>
        <w:numId w:val="31"/>
      </w:numPr>
      <w:suppressAutoHyphens w:val="0"/>
      <w:jc w:val="both"/>
    </w:pPr>
    <w:rPr>
      <w:sz w:val="24"/>
      <w:lang w:val="x-none" w:eastAsia="x-none"/>
    </w:rPr>
  </w:style>
  <w:style w:type="character" w:styleId="af7">
    <w:name w:val="Unresolved Mention"/>
    <w:uiPriority w:val="99"/>
    <w:semiHidden/>
    <w:unhideWhenUsed/>
    <w:rsid w:val="00706A43"/>
    <w:rPr>
      <w:color w:val="605E5C"/>
      <w:shd w:val="clear" w:color="auto" w:fill="E1DFDD"/>
    </w:rPr>
  </w:style>
  <w:style w:type="paragraph" w:customStyle="1" w:styleId="jdiowc">
    <w:name w:val="jdiowc"/>
    <w:basedOn w:val="a0"/>
    <w:rsid w:val="007B4619"/>
    <w:pPr>
      <w:suppressAutoHyphens w:val="0"/>
      <w:spacing w:before="100" w:beforeAutospacing="1" w:after="100" w:afterAutospacing="1"/>
    </w:pPr>
    <w:rPr>
      <w:sz w:val="24"/>
      <w:lang w:eastAsia="el-GR"/>
    </w:rPr>
  </w:style>
  <w:style w:type="character" w:customStyle="1" w:styleId="fontstyle01">
    <w:name w:val="fontstyle01"/>
    <w:basedOn w:val="a1"/>
    <w:rsid w:val="007B4619"/>
    <w:rPr>
      <w:rFonts w:ascii="FSMe-Light" w:hAnsi="FSMe-Light" w:hint="default"/>
      <w:b w:val="0"/>
      <w:bCs w:val="0"/>
      <w:i w:val="0"/>
      <w:iCs w:val="0"/>
      <w:color w:val="000000"/>
      <w:sz w:val="16"/>
      <w:szCs w:val="16"/>
    </w:rPr>
  </w:style>
  <w:style w:type="character" w:customStyle="1" w:styleId="fontstyle21">
    <w:name w:val="fontstyle21"/>
    <w:basedOn w:val="a1"/>
    <w:rsid w:val="007B4619"/>
    <w:rPr>
      <w:rFonts w:ascii="FSMe-LightItalic" w:hAnsi="FSMe-LightItalic" w:hint="default"/>
      <w:b w:val="0"/>
      <w:bCs w:val="0"/>
      <w:i/>
      <w:iCs/>
      <w:color w:val="000000"/>
      <w:sz w:val="16"/>
      <w:szCs w:val="16"/>
    </w:rPr>
  </w:style>
  <w:style w:type="character" w:customStyle="1" w:styleId="citationsource-journal">
    <w:name w:val="citation_source-journal"/>
    <w:basedOn w:val="a1"/>
    <w:rsid w:val="00D018E9"/>
  </w:style>
  <w:style w:type="character" w:styleId="af8">
    <w:name w:val="annotation reference"/>
    <w:basedOn w:val="a1"/>
    <w:uiPriority w:val="99"/>
    <w:semiHidden/>
    <w:unhideWhenUsed/>
    <w:rsid w:val="00867509"/>
    <w:rPr>
      <w:sz w:val="16"/>
      <w:szCs w:val="16"/>
    </w:rPr>
  </w:style>
  <w:style w:type="paragraph" w:styleId="af9">
    <w:name w:val="annotation text"/>
    <w:basedOn w:val="a0"/>
    <w:link w:val="Char1"/>
    <w:uiPriority w:val="99"/>
    <w:semiHidden/>
    <w:unhideWhenUsed/>
    <w:rsid w:val="00867509"/>
    <w:rPr>
      <w:szCs w:val="20"/>
    </w:rPr>
  </w:style>
  <w:style w:type="character" w:customStyle="1" w:styleId="Char1">
    <w:name w:val="Κείμενο σχολίου Char"/>
    <w:basedOn w:val="a1"/>
    <w:link w:val="af9"/>
    <w:uiPriority w:val="99"/>
    <w:semiHidden/>
    <w:rsid w:val="00867509"/>
    <w:rPr>
      <w:lang w:eastAsia="zh-CN"/>
    </w:rPr>
  </w:style>
  <w:style w:type="paragraph" w:styleId="afa">
    <w:name w:val="annotation subject"/>
    <w:basedOn w:val="af9"/>
    <w:next w:val="af9"/>
    <w:link w:val="Char2"/>
    <w:uiPriority w:val="99"/>
    <w:semiHidden/>
    <w:unhideWhenUsed/>
    <w:rsid w:val="00867509"/>
    <w:rPr>
      <w:b/>
      <w:bCs/>
    </w:rPr>
  </w:style>
  <w:style w:type="character" w:customStyle="1" w:styleId="Char2">
    <w:name w:val="Θέμα σχολίου Char"/>
    <w:basedOn w:val="Char1"/>
    <w:link w:val="afa"/>
    <w:uiPriority w:val="99"/>
    <w:semiHidden/>
    <w:rsid w:val="00867509"/>
    <w:rPr>
      <w:b/>
      <w:bCs/>
      <w:lang w:eastAsia="zh-CN"/>
    </w:rPr>
  </w:style>
  <w:style w:type="paragraph" w:styleId="afb">
    <w:name w:val="List Paragraph"/>
    <w:basedOn w:val="a0"/>
    <w:uiPriority w:val="34"/>
    <w:qFormat/>
    <w:rsid w:val="00DB5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653">
      <w:bodyDiv w:val="1"/>
      <w:marLeft w:val="0"/>
      <w:marRight w:val="0"/>
      <w:marTop w:val="0"/>
      <w:marBottom w:val="0"/>
      <w:divBdr>
        <w:top w:val="none" w:sz="0" w:space="0" w:color="auto"/>
        <w:left w:val="none" w:sz="0" w:space="0" w:color="auto"/>
        <w:bottom w:val="none" w:sz="0" w:space="0" w:color="auto"/>
        <w:right w:val="none" w:sz="0" w:space="0" w:color="auto"/>
      </w:divBdr>
    </w:div>
    <w:div w:id="180245903">
      <w:bodyDiv w:val="1"/>
      <w:marLeft w:val="0"/>
      <w:marRight w:val="0"/>
      <w:marTop w:val="0"/>
      <w:marBottom w:val="0"/>
      <w:divBdr>
        <w:top w:val="none" w:sz="0" w:space="0" w:color="auto"/>
        <w:left w:val="none" w:sz="0" w:space="0" w:color="auto"/>
        <w:bottom w:val="none" w:sz="0" w:space="0" w:color="auto"/>
        <w:right w:val="none" w:sz="0" w:space="0" w:color="auto"/>
      </w:divBdr>
    </w:div>
    <w:div w:id="398094690">
      <w:bodyDiv w:val="1"/>
      <w:marLeft w:val="0"/>
      <w:marRight w:val="0"/>
      <w:marTop w:val="0"/>
      <w:marBottom w:val="0"/>
      <w:divBdr>
        <w:top w:val="none" w:sz="0" w:space="0" w:color="auto"/>
        <w:left w:val="none" w:sz="0" w:space="0" w:color="auto"/>
        <w:bottom w:val="none" w:sz="0" w:space="0" w:color="auto"/>
        <w:right w:val="none" w:sz="0" w:space="0" w:color="auto"/>
      </w:divBdr>
    </w:div>
    <w:div w:id="1215194773">
      <w:bodyDiv w:val="1"/>
      <w:marLeft w:val="0"/>
      <w:marRight w:val="0"/>
      <w:marTop w:val="0"/>
      <w:marBottom w:val="0"/>
      <w:divBdr>
        <w:top w:val="none" w:sz="0" w:space="0" w:color="auto"/>
        <w:left w:val="none" w:sz="0" w:space="0" w:color="auto"/>
        <w:bottom w:val="none" w:sz="0" w:space="0" w:color="auto"/>
        <w:right w:val="none" w:sz="0" w:space="0" w:color="auto"/>
      </w:divBdr>
    </w:div>
    <w:div w:id="1342973543">
      <w:bodyDiv w:val="1"/>
      <w:marLeft w:val="0"/>
      <w:marRight w:val="0"/>
      <w:marTop w:val="0"/>
      <w:marBottom w:val="0"/>
      <w:divBdr>
        <w:top w:val="none" w:sz="0" w:space="0" w:color="auto"/>
        <w:left w:val="none" w:sz="0" w:space="0" w:color="auto"/>
        <w:bottom w:val="none" w:sz="0" w:space="0" w:color="auto"/>
        <w:right w:val="none" w:sz="0" w:space="0" w:color="auto"/>
      </w:divBdr>
    </w:div>
    <w:div w:id="191813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jstor.org/stable/2631871" TargetMode="External"/><Relationship Id="rId18" Type="http://schemas.openxmlformats.org/officeDocument/2006/relationships/hyperlink" Target="https://doi.org/10.1080/09687599.2023.2203307" TargetMode="External"/><Relationship Id="rId26" Type="http://schemas.openxmlformats.org/officeDocument/2006/relationships/hyperlink" Target="https://doi.org/10.16993/sjdr.1084" TargetMode="External"/><Relationship Id="rId39" Type="http://schemas.openxmlformats.org/officeDocument/2006/relationships/hyperlink" Target="https://doi.org/10.3109/13668250.2022.2112510" TargetMode="External"/><Relationship Id="rId21" Type="http://schemas.openxmlformats.org/officeDocument/2006/relationships/hyperlink" Target="https://social.desa.un.org/issues/disability/crpd/convention-on-the-rights-of-persons-with-disabilities-crpd" TargetMode="External"/><Relationship Id="rId34" Type="http://schemas.openxmlformats.org/officeDocument/2006/relationships/hyperlink" Target="https://doi.org/10.1186/1748-5908-6-42" TargetMode="External"/><Relationship Id="rId42" Type="http://schemas.openxmlformats.org/officeDocument/2006/relationships/hyperlink" Target="https://doi.org/10.4324/9781315887456" TargetMode="External"/><Relationship Id="rId47" Type="http://schemas.openxmlformats.org/officeDocument/2006/relationships/hyperlink" Target="https://doi.org/10.1186/s12889-021-11139-3"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7/stl0000194" TargetMode="External"/><Relationship Id="rId29" Type="http://schemas.openxmlformats.org/officeDocument/2006/relationships/hyperlink" Target="https://doi.org/10.1016/S0272-6963(00)00048-6" TargetMode="External"/><Relationship Id="rId11" Type="http://schemas.openxmlformats.org/officeDocument/2006/relationships/footer" Target="footer2.xml"/><Relationship Id="rId24" Type="http://schemas.openxmlformats.org/officeDocument/2006/relationships/hyperlink" Target="https://psycnet.apa.org/doi/10.1111/apps.12487" TargetMode="External"/><Relationship Id="rId32" Type="http://schemas.openxmlformats.org/officeDocument/2006/relationships/hyperlink" Target="https://doi.org/10.1016/j.ejor.2006.05.001" TargetMode="External"/><Relationship Id="rId37" Type="http://schemas.openxmlformats.org/officeDocument/2006/relationships/hyperlink" Target="https://doi.org/10.3758/BF03200807" TargetMode="External"/><Relationship Id="rId40" Type="http://schemas.openxmlformats.org/officeDocument/2006/relationships/hyperlink" Target="http://dx.doi.org/10.1352/1944-7558-119.6.552" TargetMode="External"/><Relationship Id="rId45" Type="http://schemas.openxmlformats.org/officeDocument/2006/relationships/hyperlink" Target="https://doi.org/10.1186/s12889-018-6234-7" TargetMode="External"/><Relationship Id="rId5" Type="http://schemas.openxmlformats.org/officeDocument/2006/relationships/webSettings" Target="webSettings.xml"/><Relationship Id="rId15" Type="http://schemas.openxmlformats.org/officeDocument/2006/relationships/hyperlink" Target="https://doi.org/10.1177/1744629514564691" TargetMode="External"/><Relationship Id="rId23" Type="http://schemas.openxmlformats.org/officeDocument/2006/relationships/hyperlink" Target="https://psycnet.apa.org/doi/10.1037/1082-989X.2.3.292" TargetMode="External"/><Relationship Id="rId28" Type="http://schemas.openxmlformats.org/officeDocument/2006/relationships/hyperlink" Target="https://doi.org/10.3109/13668250.2010.501026" TargetMode="External"/><Relationship Id="rId36" Type="http://schemas.openxmlformats.org/officeDocument/2006/relationships/hyperlink" Target="https://doi.org/10.1007/s10926-016-9680-z" TargetMode="External"/><Relationship Id="rId49" Type="http://schemas.openxmlformats.org/officeDocument/2006/relationships/hyperlink" Target="https://doi.org/10.1007/978-3-319-66393-7_8" TargetMode="External"/><Relationship Id="rId10" Type="http://schemas.openxmlformats.org/officeDocument/2006/relationships/footer" Target="footer1.xml"/><Relationship Id="rId19" Type="http://schemas.openxmlformats.org/officeDocument/2006/relationships/hyperlink" Target="https://doi.org/10.1287/isre.8.4.342" TargetMode="External"/><Relationship Id="rId31" Type="http://schemas.openxmlformats.org/officeDocument/2006/relationships/hyperlink" Target="https://doi.org/10.1111/j.1365-2788.2005.00743.x" TargetMode="External"/><Relationship Id="rId44" Type="http://schemas.openxmlformats.org/officeDocument/2006/relationships/hyperlink" Target="https://hdl.handle.net/10536/DRO/DU:3013476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24846/v19i3y201011" TargetMode="External"/><Relationship Id="rId22" Type="http://schemas.openxmlformats.org/officeDocument/2006/relationships/hyperlink" Target="https://doi.org/10.7275/jyj1-4868" TargetMode="External"/><Relationship Id="rId27" Type="http://schemas.openxmlformats.org/officeDocument/2006/relationships/hyperlink" Target="https://doi.org/10.1111/j.1468-3148.2010.00618.x" TargetMode="External"/><Relationship Id="rId30" Type="http://schemas.openxmlformats.org/officeDocument/2006/relationships/hyperlink" Target="https://doi.org/10.1016/S0272-6963(99)00002-9" TargetMode="External"/><Relationship Id="rId35" Type="http://schemas.openxmlformats.org/officeDocument/2006/relationships/hyperlink" Target="https://doi.org/10.1177/10442073060160040501" TargetMode="External"/><Relationship Id="rId43" Type="http://schemas.openxmlformats.org/officeDocument/2006/relationships/hyperlink" Target="https://doi.org/10.1177/0022466913489733" TargetMode="External"/><Relationship Id="rId48" Type="http://schemas.openxmlformats.org/officeDocument/2006/relationships/hyperlink" Target="https://doi.org/10.1007/978-981-10-2084-1_8" TargetMode="Externa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177/001440291107700307" TargetMode="External"/><Relationship Id="rId17" Type="http://schemas.openxmlformats.org/officeDocument/2006/relationships/hyperlink" Target="https://doi.org/10.1080/00031305.1983.10483115" TargetMode="External"/><Relationship Id="rId25" Type="http://schemas.openxmlformats.org/officeDocument/2006/relationships/hyperlink" Target="https://sjdr.se/articles/10.1080/15017419.2016.1222303" TargetMode="External"/><Relationship Id="rId33" Type="http://schemas.openxmlformats.org/officeDocument/2006/relationships/hyperlink" Target="https://doi.org/10.1007/978-3-319-66393-7_9" TargetMode="External"/><Relationship Id="rId38" Type="http://schemas.openxmlformats.org/officeDocument/2006/relationships/hyperlink" Target="https://www.jstor.org/stable/23879591" TargetMode="External"/><Relationship Id="rId46" Type="http://schemas.openxmlformats.org/officeDocument/2006/relationships/hyperlink" Target="https://doi.org/10.1080/1359432X.2017.1387536" TargetMode="External"/><Relationship Id="rId20" Type="http://schemas.openxmlformats.org/officeDocument/2006/relationships/hyperlink" Target="https://doi.org/10.1177/002224377901600110" TargetMode="External"/><Relationship Id="rId41" Type="http://schemas.openxmlformats.org/officeDocument/2006/relationships/hyperlink" Target="https://doi.org/10.1016/S0305-0483(96)00051-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90202-6E44-4974-9F88-AD25B4B2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14</Pages>
  <Words>7238</Words>
  <Characters>39086</Characters>
  <Application>Microsoft Office Word</Application>
  <DocSecurity>0</DocSecurity>
  <Lines>325</Lines>
  <Paragraphs>92</Paragraphs>
  <ScaleCrop>false</ScaleCrop>
  <HeadingPairs>
    <vt:vector size="2" baseType="variant">
      <vt:variant>
        <vt:lpstr>Τίτλος</vt:lpstr>
      </vt:variant>
      <vt:variant>
        <vt:i4>1</vt:i4>
      </vt:variant>
    </vt:vector>
  </HeadingPairs>
  <TitlesOfParts>
    <vt:vector size="1" baseType="lpstr">
      <vt:lpstr>DidInfo</vt:lpstr>
    </vt:vector>
  </TitlesOfParts>
  <Company>home</Company>
  <LinksUpToDate>false</LinksUpToDate>
  <CharactersWithSpaces>46232</CharactersWithSpaces>
  <SharedDoc>false</SharedDoc>
  <HLinks>
    <vt:vector size="12" baseType="variant">
      <vt:variant>
        <vt:i4>7340110</vt:i4>
      </vt:variant>
      <vt:variant>
        <vt:i4>3</vt:i4>
      </vt:variant>
      <vt:variant>
        <vt:i4>0</vt:i4>
      </vt:variant>
      <vt:variant>
        <vt:i4>5</vt:i4>
      </vt:variant>
      <vt:variant>
        <vt:lpwstr>https://el.wikipedia.org/wiki/%CE%91%CE%B8%CE%B7%CE%BD%CE%AC</vt:lpwstr>
      </vt:variant>
      <vt:variant>
        <vt:lpwstr>%CE%97_%CE%B3%CE%AD%CE%BD%CE%BD%CE%B7%CF%83%CE%B7_%CF%84%CE%B7%CF%82_%CE%91%CE%B8%CE%B7%CE%BD%CE%AC%CF%82</vt:lpwstr>
      </vt:variant>
      <vt:variant>
        <vt:i4>5242894</vt:i4>
      </vt:variant>
      <vt:variant>
        <vt:i4>0</vt:i4>
      </vt:variant>
      <vt:variant>
        <vt:i4>0</vt:i4>
      </vt:variant>
      <vt:variant>
        <vt:i4>5</vt:i4>
      </vt:variant>
      <vt:variant>
        <vt:lpwstr>https://el.wikipedia.org/wiki/%CE%91%CE%B8%CE%AE%CE%BD%CE%B1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DidInfo</dc:title>
  <dc:subject/>
  <dc:creator>AT</dc:creator>
  <cp:keywords/>
  <cp:lastModifiedBy>Μ</cp:lastModifiedBy>
  <cp:revision>29</cp:revision>
  <cp:lastPrinted>2025-11-13T11:42:00Z</cp:lastPrinted>
  <dcterms:created xsi:type="dcterms:W3CDTF">2025-11-13T11:35:00Z</dcterms:created>
  <dcterms:modified xsi:type="dcterms:W3CDTF">2025-11-23T15:23:00Z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1033-8.1.0.3030</vt:lpwstr>
  </property>
</Properties>
</file>