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82118" w14:textId="77777777" w:rsidR="00A3096A" w:rsidRDefault="00A3096A">
      <w:pPr>
        <w:pStyle w:val="a3"/>
        <w:spacing w:before="127"/>
        <w:ind w:left="0"/>
        <w:rPr>
          <w:rFonts w:ascii="Times New Roman"/>
          <w:sz w:val="28"/>
        </w:rPr>
      </w:pPr>
    </w:p>
    <w:p w14:paraId="1F3A4CA5" w14:textId="60C31DD5" w:rsidR="00A3096A" w:rsidRDefault="00000000">
      <w:pPr>
        <w:pStyle w:val="a4"/>
      </w:pPr>
      <w:r>
        <w:t>Αντιλήψεις</w:t>
      </w:r>
      <w:r>
        <w:rPr>
          <w:spacing w:val="-5"/>
        </w:rPr>
        <w:t xml:space="preserve"> </w:t>
      </w:r>
      <w:r>
        <w:t>Ελλήνων</w:t>
      </w:r>
      <w:r>
        <w:rPr>
          <w:spacing w:val="-5"/>
        </w:rPr>
        <w:t xml:space="preserve"> </w:t>
      </w:r>
      <w:r>
        <w:t>Εκπαιδευτικών</w:t>
      </w:r>
      <w:r>
        <w:rPr>
          <w:spacing w:val="-5"/>
        </w:rPr>
        <w:t xml:space="preserve"> </w:t>
      </w:r>
      <w:r>
        <w:t>για</w:t>
      </w:r>
      <w:r>
        <w:rPr>
          <w:spacing w:val="-5"/>
        </w:rPr>
        <w:t xml:space="preserve"> </w:t>
      </w:r>
      <w:r>
        <w:t>τ</w:t>
      </w:r>
      <w:r w:rsidR="00B93BBC">
        <w:t>ο Πολλαπλό Βιβλίο</w:t>
      </w:r>
    </w:p>
    <w:p w14:paraId="4996F61A" w14:textId="0AB72116" w:rsidR="00A3096A" w:rsidRDefault="00942962">
      <w:pPr>
        <w:spacing w:before="269"/>
        <w:ind w:left="145" w:right="1"/>
        <w:jc w:val="center"/>
        <w:rPr>
          <w:b/>
          <w:sz w:val="24"/>
        </w:rPr>
      </w:pPr>
      <w:r>
        <w:rPr>
          <w:b/>
          <w:sz w:val="24"/>
        </w:rPr>
        <w:t>Ευαγγελία Ζώτου</w:t>
      </w:r>
    </w:p>
    <w:p w14:paraId="78E1F76C" w14:textId="0E38BD4C" w:rsidR="002D4F66" w:rsidRDefault="00562B6C" w:rsidP="00562B6C">
      <w:pPr>
        <w:pStyle w:val="a3"/>
        <w:spacing w:before="1"/>
        <w:ind w:left="1304" w:right="1156"/>
      </w:pPr>
      <w:r>
        <w:t xml:space="preserve">            </w:t>
      </w:r>
      <w:r w:rsidR="00942962">
        <w:t>ΠΕ Δ</w:t>
      </w:r>
      <w:r w:rsidR="00B1661C">
        <w:t>ιοικ</w:t>
      </w:r>
      <w:r w:rsidR="00942962">
        <w:t>-Ο</w:t>
      </w:r>
      <w:r w:rsidR="00B1661C">
        <w:t>ικον</w:t>
      </w:r>
      <w:r w:rsidR="00942962">
        <w:t>.</w:t>
      </w:r>
      <w:r>
        <w:t xml:space="preserve">, </w:t>
      </w:r>
      <w:r>
        <w:rPr>
          <w:lang w:val="en-US"/>
        </w:rPr>
        <w:t>M</w:t>
      </w:r>
      <w:r w:rsidR="00F57D8A">
        <w:rPr>
          <w:lang w:val="en-US"/>
        </w:rPr>
        <w:t>E</w:t>
      </w:r>
      <w:r>
        <w:rPr>
          <w:lang w:val="en-US"/>
        </w:rPr>
        <w:t>d</w:t>
      </w:r>
      <w:r w:rsidRPr="003F6493">
        <w:t>,</w:t>
      </w:r>
      <w:r w:rsidR="00942962">
        <w:rPr>
          <w:spacing w:val="-7"/>
        </w:rPr>
        <w:t xml:space="preserve"> </w:t>
      </w:r>
      <w:r w:rsidR="009229A5">
        <w:rPr>
          <w:spacing w:val="-7"/>
        </w:rPr>
        <w:t>σ</w:t>
      </w:r>
      <w:r w:rsidR="00942962">
        <w:rPr>
          <w:spacing w:val="-7"/>
        </w:rPr>
        <w:t>τη</w:t>
      </w:r>
      <w:r w:rsidR="00942962" w:rsidRPr="00942962">
        <w:rPr>
          <w:spacing w:val="-7"/>
        </w:rPr>
        <w:t xml:space="preserve"> </w:t>
      </w:r>
      <w:r w:rsidR="00942962">
        <w:rPr>
          <w:spacing w:val="-7"/>
        </w:rPr>
        <w:t>Δ.</w:t>
      </w:r>
      <w:r w:rsidR="00942962">
        <w:t>Δ</w:t>
      </w:r>
      <w:r w:rsidR="00942962" w:rsidRPr="00942962">
        <w:t>.</w:t>
      </w:r>
      <w:r w:rsidR="00942962">
        <w:t>Ε</w:t>
      </w:r>
      <w:r w:rsidR="00942962" w:rsidRPr="00942962">
        <w:t xml:space="preserve">. </w:t>
      </w:r>
      <w:r w:rsidR="00942962">
        <w:t>Ιωαννίνων</w:t>
      </w:r>
    </w:p>
    <w:p w14:paraId="3F6C22E8" w14:textId="2AF81014" w:rsidR="00A3096A" w:rsidRDefault="002D4F66" w:rsidP="002D4F66">
      <w:pPr>
        <w:pStyle w:val="a3"/>
        <w:spacing w:before="1"/>
        <w:ind w:left="1304" w:right="1156"/>
        <w:jc w:val="center"/>
      </w:pPr>
      <w:hyperlink r:id="rId8" w:history="1">
        <w:r w:rsidRPr="00B1661C">
          <w:rPr>
            <w:rStyle w:val="-"/>
            <w:color w:val="auto"/>
            <w:spacing w:val="-2"/>
            <w:u w:val="none"/>
            <w:lang w:val="en-US"/>
          </w:rPr>
          <w:t>elina</w:t>
        </w:r>
        <w:r w:rsidRPr="00B1661C">
          <w:rPr>
            <w:rStyle w:val="-"/>
            <w:color w:val="auto"/>
            <w:spacing w:val="-2"/>
            <w:u w:val="none"/>
          </w:rPr>
          <w:t>_</w:t>
        </w:r>
        <w:r w:rsidRPr="00B1661C">
          <w:rPr>
            <w:rStyle w:val="-"/>
            <w:color w:val="auto"/>
            <w:spacing w:val="-2"/>
            <w:u w:val="none"/>
            <w:lang w:val="en-US"/>
          </w:rPr>
          <w:t>z</w:t>
        </w:r>
        <w:r w:rsidRPr="00B1661C">
          <w:rPr>
            <w:rStyle w:val="-"/>
            <w:color w:val="auto"/>
            <w:spacing w:val="-2"/>
            <w:u w:val="none"/>
          </w:rPr>
          <w:t>@</w:t>
        </w:r>
        <w:r w:rsidRPr="00B1661C">
          <w:rPr>
            <w:rStyle w:val="-"/>
            <w:color w:val="auto"/>
            <w:spacing w:val="-2"/>
            <w:u w:val="none"/>
            <w:lang w:val="en-US"/>
          </w:rPr>
          <w:t>windowslive</w:t>
        </w:r>
        <w:r w:rsidRPr="00B1661C">
          <w:rPr>
            <w:rStyle w:val="-"/>
            <w:color w:val="auto"/>
            <w:spacing w:val="-2"/>
            <w:u w:val="none"/>
          </w:rPr>
          <w:t>.</w:t>
        </w:r>
        <w:r w:rsidRPr="00B1661C">
          <w:rPr>
            <w:rStyle w:val="-"/>
            <w:color w:val="auto"/>
            <w:spacing w:val="-2"/>
            <w:u w:val="none"/>
            <w:lang w:val="en-US"/>
          </w:rPr>
          <w:t>com</w:t>
        </w:r>
      </w:hyperlink>
    </w:p>
    <w:p w14:paraId="3283E17E" w14:textId="77777777" w:rsidR="00A3096A" w:rsidRPr="00942962" w:rsidRDefault="00A3096A">
      <w:pPr>
        <w:pStyle w:val="a3"/>
        <w:spacing w:before="71"/>
        <w:ind w:left="0"/>
      </w:pPr>
    </w:p>
    <w:p w14:paraId="086E75FE" w14:textId="4863BAF6" w:rsidR="00A3096A" w:rsidRPr="00942962" w:rsidRDefault="00942962">
      <w:pPr>
        <w:ind w:left="145"/>
        <w:jc w:val="center"/>
        <w:rPr>
          <w:b/>
          <w:sz w:val="24"/>
        </w:rPr>
      </w:pPr>
      <w:r>
        <w:rPr>
          <w:b/>
          <w:sz w:val="24"/>
        </w:rPr>
        <w:t>Παρασκευή Καλτσούνη</w:t>
      </w:r>
    </w:p>
    <w:p w14:paraId="6D1772D0" w14:textId="1F6E9D42" w:rsidR="008E126A" w:rsidRPr="00B1661C" w:rsidRDefault="00942962" w:rsidP="008E126A">
      <w:pPr>
        <w:pStyle w:val="a3"/>
        <w:spacing w:before="1"/>
        <w:ind w:left="896" w:right="750"/>
        <w:jc w:val="center"/>
      </w:pPr>
      <w:r>
        <w:t>Φιλόλογος</w:t>
      </w:r>
      <w:r>
        <w:rPr>
          <w:spacing w:val="-7"/>
        </w:rPr>
        <w:t xml:space="preserve"> </w:t>
      </w:r>
      <w:r>
        <w:t>PhD,</w:t>
      </w:r>
      <w:r>
        <w:rPr>
          <w:spacing w:val="-6"/>
        </w:rPr>
        <w:t xml:space="preserve"> </w:t>
      </w:r>
      <w:r w:rsidR="00B1661C">
        <w:rPr>
          <w:spacing w:val="-6"/>
        </w:rPr>
        <w:t xml:space="preserve">στο </w:t>
      </w:r>
      <w:r>
        <w:t>Παν</w:t>
      </w:r>
      <w:r w:rsidR="002D4F66">
        <w:t>επιστ</w:t>
      </w:r>
      <w:r w:rsidR="00B1661C">
        <w:t xml:space="preserve">ήμιο </w:t>
      </w:r>
      <w:r w:rsidR="00B1661C">
        <w:rPr>
          <w:lang w:val="en-US"/>
        </w:rPr>
        <w:t>ELTE</w:t>
      </w:r>
      <w:r w:rsidR="00B1661C" w:rsidRPr="00B1661C">
        <w:t xml:space="preserve"> </w:t>
      </w:r>
      <w:r w:rsidR="00B1661C">
        <w:t>της</w:t>
      </w:r>
      <w:r w:rsidR="002D4F66">
        <w:t xml:space="preserve"> Βουδαπέστης</w:t>
      </w:r>
      <w:r w:rsidR="008E126A" w:rsidRPr="008E126A">
        <w:t xml:space="preserve"> </w:t>
      </w:r>
    </w:p>
    <w:p w14:paraId="55A422A7" w14:textId="379C7685" w:rsidR="002D4F66" w:rsidRDefault="008E126A" w:rsidP="008E126A">
      <w:pPr>
        <w:pStyle w:val="a3"/>
        <w:spacing w:before="1"/>
        <w:ind w:left="896" w:right="750"/>
        <w:jc w:val="center"/>
      </w:pPr>
      <w:r>
        <w:t>vivikaltsouni@hotmail.com</w:t>
      </w:r>
    </w:p>
    <w:p w14:paraId="7E1FAEF7" w14:textId="77777777" w:rsidR="00A3096A" w:rsidRDefault="00000000" w:rsidP="0091628B">
      <w:pPr>
        <w:spacing w:before="241"/>
        <w:ind w:firstLine="284"/>
        <w:rPr>
          <w:b/>
        </w:rPr>
      </w:pPr>
      <w:r>
        <w:rPr>
          <w:b/>
          <w:spacing w:val="-2"/>
        </w:rPr>
        <w:t>Περίληψη</w:t>
      </w:r>
    </w:p>
    <w:p w14:paraId="4F5D90C5" w14:textId="77777777" w:rsidR="0080785C" w:rsidRPr="0080785C" w:rsidRDefault="0080785C" w:rsidP="0091628B">
      <w:pPr>
        <w:pStyle w:val="a3"/>
        <w:spacing w:before="120"/>
        <w:ind w:left="0" w:right="96" w:firstLine="284"/>
        <w:jc w:val="both"/>
        <w:rPr>
          <w:color w:val="EE0000"/>
        </w:rPr>
      </w:pPr>
      <w:r w:rsidRPr="0080785C">
        <w:rPr>
          <w:color w:val="EE0000"/>
        </w:rPr>
        <w:t>Η εισαγωγή του θεσμού του Πολλαπλού Βιβλίου στην ελληνική εκπαίδευση αποσκοπεί στην ενίσχυση της παιδαγωγικής ελευθερίας και την προώθηση του διδακτικού πλουραλισμού. Η παρούσα μελέτη διερευνά τις αντιλήψεις 60 Ελλήνων εκπαιδευτικών δευτεροβάθμιας εκπαίδευσης αναφορικά με τα πλεονεκτήματα, τις προκλήσεις και τις επιπτώσεις της εφαρμογής του θεσμού. Η συλλογή των δεδομένων πραγματοποιήθηκε μέσω ψηφιακού ερωτηματολογίου, η αξιοπιστία του οποίου επιβεβαιώθηκε με τον δείκτη Cronbach’s Alpha (0,82-0,89). Τα αποτελέσματα καταδεικνύουν μια ευρεία αποδοχή της παιδαγωγικής αξίας της καινοτομίας, η οποία όμως συνοδεύεται από έντονο προβληματισμό για τις υλικοτεχνικές υποδομές και την επάρκεια της κρατικής επιμόρφωσης. Ιδιαίτερη έμφαση δίνεται στη διαφοροποίηση των στάσεων ανάλογα με τα έτη προϋπηρεσίας, αναδεικνύοντας την ανάγκη για ένα ολιστικό πλαίσιο υποστήριξης που θα διασφαλίζει την ισότητα και την αποτελεσματικότητα της μετάβασης στο νέο εκπαιδευτικό μοντέλο.</w:t>
      </w:r>
    </w:p>
    <w:p w14:paraId="6AC9FE9E" w14:textId="2D97C5F7" w:rsidR="00B60A6E" w:rsidRPr="0080785C" w:rsidRDefault="00000000" w:rsidP="0091628B">
      <w:pPr>
        <w:pStyle w:val="a3"/>
        <w:spacing w:before="120"/>
        <w:ind w:left="0" w:right="96" w:firstLine="284"/>
        <w:jc w:val="both"/>
      </w:pPr>
      <w:r>
        <w:rPr>
          <w:b/>
        </w:rPr>
        <w:t>Λέξεις</w:t>
      </w:r>
      <w:r>
        <w:rPr>
          <w:b/>
          <w:spacing w:val="-10"/>
        </w:rPr>
        <w:t xml:space="preserve"> </w:t>
      </w:r>
      <w:r>
        <w:rPr>
          <w:b/>
        </w:rPr>
        <w:t>κλειδιά:</w:t>
      </w:r>
      <w:r>
        <w:rPr>
          <w:b/>
          <w:spacing w:val="-10"/>
        </w:rPr>
        <w:t xml:space="preserve"> </w:t>
      </w:r>
      <w:r w:rsidR="00B60A6E" w:rsidRPr="00B60A6E">
        <w:t>Πολλαπλό Βιβλίο, Εκπαιδευτική Πολιτική, Παιδαγωγικός Πλουραλισμός</w:t>
      </w:r>
      <w:r w:rsidR="0080785C">
        <w:t xml:space="preserve">, </w:t>
      </w:r>
      <w:r w:rsidR="0080785C" w:rsidRPr="0080785C">
        <w:rPr>
          <w:color w:val="EE0000"/>
        </w:rPr>
        <w:t>Αντιλήψεις Εκπαιδευτικών Δευτεροβάθμιας Εκπαίδευσης</w:t>
      </w:r>
      <w:r w:rsidR="0080785C">
        <w:t>.</w:t>
      </w:r>
    </w:p>
    <w:p w14:paraId="18A4DB72" w14:textId="2EEBD7DB" w:rsidR="00135843" w:rsidRPr="00135843" w:rsidRDefault="00135843" w:rsidP="0091628B">
      <w:pPr>
        <w:spacing w:before="241"/>
        <w:ind w:firstLine="284"/>
        <w:rPr>
          <w:b/>
          <w:lang w:val="en-US"/>
        </w:rPr>
      </w:pPr>
      <w:r>
        <w:rPr>
          <w:b/>
          <w:spacing w:val="-2"/>
          <w:lang w:val="en-US"/>
        </w:rPr>
        <w:t>Abstract</w:t>
      </w:r>
    </w:p>
    <w:p w14:paraId="0DA6E40E" w14:textId="77777777" w:rsidR="0080785C" w:rsidRPr="00AD5BF6" w:rsidRDefault="0080785C" w:rsidP="0091628B">
      <w:pPr>
        <w:pStyle w:val="a3"/>
        <w:spacing w:before="120"/>
        <w:ind w:left="0" w:right="96" w:firstLine="284"/>
        <w:jc w:val="both"/>
        <w:rPr>
          <w:color w:val="EE0000"/>
          <w:lang w:val="en-US"/>
        </w:rPr>
      </w:pPr>
      <w:r w:rsidRPr="0080785C">
        <w:rPr>
          <w:color w:val="EE0000"/>
          <w:lang w:val="en-US"/>
        </w:rPr>
        <w:t>The introduction of the Multiple-Book system in the Greek educational context aims to enhance pedagogical freedom and promote teaching pluralism. This study explores the perceptions of 60 Greek secondary education teachers regarding the advantages, challenges, and implications of implementing this policy. Data collection was conducted through a digital questionnaire, the reliability of which was confirmed using Cronbach’s Alpha coefficient (0.82-0.89). The findings indicate a broad acceptance of the innovation's pedagogical value, which is nevertheless accompanied by significant concerns regarding technological infrastructure and the adequacy of state-led professional development. Particular emphasis is placed on the differentiation of attitudes based on years of teaching experience, highlighting the need for a holistic support framework to ensure equity and effectiveness during the transition to the new educational model.</w:t>
      </w:r>
    </w:p>
    <w:p w14:paraId="6C1234C8" w14:textId="75E6A3F7" w:rsidR="00135843" w:rsidRPr="0080785C" w:rsidRDefault="00135843" w:rsidP="0091628B">
      <w:pPr>
        <w:pStyle w:val="a3"/>
        <w:spacing w:before="120"/>
        <w:ind w:left="0" w:right="96" w:firstLine="284"/>
        <w:jc w:val="both"/>
        <w:rPr>
          <w:color w:val="EE0000"/>
          <w:lang w:val="en-US"/>
        </w:rPr>
      </w:pPr>
      <w:r>
        <w:rPr>
          <w:b/>
          <w:lang w:val="en-US"/>
        </w:rPr>
        <w:t>Keywords</w:t>
      </w:r>
      <w:r w:rsidRPr="00135843">
        <w:rPr>
          <w:b/>
          <w:lang w:val="en-US"/>
        </w:rPr>
        <w:t>:</w:t>
      </w:r>
      <w:r w:rsidRPr="00135843">
        <w:rPr>
          <w:lang w:val="en-US"/>
        </w:rPr>
        <w:t xml:space="preserve"> </w:t>
      </w:r>
      <w:r w:rsidRPr="0091628B">
        <w:rPr>
          <w:bCs/>
          <w:lang w:val="en-US"/>
        </w:rPr>
        <w:t>Multiple-Book system, Educational Policy, Pedagogical Pluralism</w:t>
      </w:r>
      <w:r w:rsidR="0080785C" w:rsidRPr="0080785C">
        <w:rPr>
          <w:bCs/>
          <w:lang w:val="en-US"/>
        </w:rPr>
        <w:t xml:space="preserve">, </w:t>
      </w:r>
      <w:r w:rsidR="0080785C" w:rsidRPr="0080785C">
        <w:rPr>
          <w:bCs/>
          <w:color w:val="EE0000"/>
          <w:lang w:val="en-US"/>
        </w:rPr>
        <w:t>Secondary</w:t>
      </w:r>
      <w:r w:rsidR="0080785C">
        <w:rPr>
          <w:bCs/>
          <w:color w:val="EE0000"/>
          <w:lang w:val="en-US"/>
        </w:rPr>
        <w:t xml:space="preserve"> Education</w:t>
      </w:r>
      <w:r w:rsidR="0080785C" w:rsidRPr="0080785C">
        <w:rPr>
          <w:bCs/>
          <w:color w:val="EE0000"/>
          <w:lang w:val="en-US"/>
        </w:rPr>
        <w:t xml:space="preserve"> Teachers’ Perceptions.</w:t>
      </w:r>
    </w:p>
    <w:p w14:paraId="39FDF9E5" w14:textId="77777777" w:rsidR="0091628B" w:rsidRDefault="00000000" w:rsidP="0091628B">
      <w:pPr>
        <w:pStyle w:val="a3"/>
        <w:spacing w:before="120"/>
        <w:ind w:left="0" w:right="96" w:firstLine="284"/>
        <w:jc w:val="both"/>
        <w:rPr>
          <w:b/>
          <w:spacing w:val="-2"/>
        </w:rPr>
      </w:pPr>
      <w:r>
        <w:rPr>
          <w:b/>
          <w:spacing w:val="-2"/>
        </w:rPr>
        <w:t>Εισαγωγή</w:t>
      </w:r>
    </w:p>
    <w:p w14:paraId="30B9C37E" w14:textId="4AA215DE" w:rsidR="00B60A6E" w:rsidRPr="004C54A6" w:rsidRDefault="004C54A6" w:rsidP="0091628B">
      <w:pPr>
        <w:pStyle w:val="a3"/>
        <w:spacing w:before="120"/>
        <w:ind w:left="0" w:right="96" w:firstLine="284"/>
        <w:jc w:val="both"/>
        <w:rPr>
          <w:b/>
          <w:color w:val="EE0000"/>
          <w:spacing w:val="-2"/>
        </w:rPr>
      </w:pPr>
      <w:r w:rsidRPr="004C54A6">
        <w:t xml:space="preserve">Το μονοδιάστατο σχολικό εγχειρίδιο αποτέλεσε για δεκαετίες το κυρίαρχο εργαλείο διδασκαλίας στην Ελλάδα. Με την εισαγωγή του Πολλαπλού Βιβλίου, οι εκπαιδευτικοί της </w:t>
      </w:r>
      <w:r w:rsidRPr="004C54A6">
        <w:rPr>
          <w:color w:val="EE0000"/>
        </w:rPr>
        <w:t xml:space="preserve">Δευτεροβάθμιας Εκπαίδευσης </w:t>
      </w:r>
      <w:r w:rsidRPr="004C54A6">
        <w:t xml:space="preserve">αποκτούν τη δυνατότητα επιλογής μεταξύ περισσότερων εγκεκριμένων εγχειριδίων, ενισχύοντας την ευελιξία και τον πλουραλισμό στη διδασκαλία. Ο νέος θεσμός αποσκοπεί στην καλλιέργεια κριτικής σκέψης και στην ενίσχυση της αυτονομίας του εκπαιδευτικού. Ωστόσο, η μετάβαση αυτή συνοδεύεται από προκλήσεις, που σχετίζονται με τον αυξημένο φόρτο εργασίας και τον κίνδυνο δημιουργίας ανισοτήτων μεταξύ σχολείων, </w:t>
      </w:r>
      <w:r w:rsidRPr="004C54A6">
        <w:rPr>
          <w:color w:val="EE0000"/>
        </w:rPr>
        <w:t>οι οποίες αποτελούν το κεντρικό αντικείμενο διερεύνησης της παρούσας εργασίας.</w:t>
      </w:r>
    </w:p>
    <w:p w14:paraId="7DCD91B6" w14:textId="77777777" w:rsidR="00B60A6E" w:rsidRDefault="00B60A6E" w:rsidP="00B60A6E">
      <w:pPr>
        <w:pStyle w:val="a3"/>
        <w:ind w:right="91" w:firstLine="284"/>
        <w:jc w:val="both"/>
      </w:pPr>
    </w:p>
    <w:p w14:paraId="477CDC4B" w14:textId="77777777" w:rsidR="0091628B" w:rsidRDefault="00B60A6E" w:rsidP="0091628B">
      <w:pPr>
        <w:pStyle w:val="a3"/>
        <w:ind w:left="0" w:right="91" w:firstLine="284"/>
        <w:jc w:val="both"/>
        <w:rPr>
          <w:b/>
          <w:bCs/>
          <w:iCs/>
          <w:spacing w:val="-2"/>
        </w:rPr>
      </w:pPr>
      <w:r w:rsidRPr="003F6493">
        <w:rPr>
          <w:b/>
          <w:bCs/>
          <w:iCs/>
          <w:spacing w:val="-2"/>
        </w:rPr>
        <w:t>Θεωρητικό πλαίσιο</w:t>
      </w:r>
    </w:p>
    <w:p w14:paraId="262B195F" w14:textId="44AD4D57" w:rsidR="003F6493" w:rsidRPr="0091628B" w:rsidRDefault="003F6493" w:rsidP="0091628B">
      <w:pPr>
        <w:pStyle w:val="a3"/>
        <w:ind w:left="0" w:right="91" w:firstLine="284"/>
        <w:jc w:val="both"/>
        <w:rPr>
          <w:b/>
          <w:bCs/>
          <w:iCs/>
          <w:spacing w:val="-2"/>
        </w:rPr>
      </w:pPr>
      <w:r w:rsidRPr="003F6493">
        <w:rPr>
          <w:i/>
          <w:spacing w:val="-2"/>
        </w:rPr>
        <w:t>Το παραδοσιακό μοντέλο του μονοδιάστατου εγχειριδίου</w:t>
      </w:r>
    </w:p>
    <w:p w14:paraId="5E7914B9" w14:textId="3165A002" w:rsidR="003F6493" w:rsidRPr="00316AB9" w:rsidRDefault="00316AB9" w:rsidP="0091628B">
      <w:pPr>
        <w:pStyle w:val="a3"/>
        <w:ind w:left="0" w:right="91" w:firstLine="284"/>
        <w:jc w:val="both"/>
        <w:rPr>
          <w:iCs/>
          <w:color w:val="EE0000"/>
          <w:spacing w:val="-2"/>
        </w:rPr>
      </w:pPr>
      <w:r w:rsidRPr="00316AB9">
        <w:rPr>
          <w:iCs/>
          <w:spacing w:val="-2"/>
        </w:rPr>
        <w:t>Στην ελληνική εκπαιδευτική πραγματικότητα, το σχολικό εγχειρίδιο αποτέλεσε επί δεκαετίες το κυρίαρχο εργαλείο διδασκαλίας, λειτουργώντας όχι μόνο ως πηγή γνώσης αλλά και ως αυστηρό πλαίσιο αναφοράς για το αναλυτικό πρόγραμμα (</w:t>
      </w:r>
      <w:r w:rsidRPr="00316AB9">
        <w:rPr>
          <w:iCs/>
          <w:color w:val="EE0000"/>
          <w:spacing w:val="-2"/>
        </w:rPr>
        <w:t>Κουλαϊδής, 1994; 1995</w:t>
      </w:r>
      <w:r w:rsidRPr="00316AB9">
        <w:rPr>
          <w:iCs/>
          <w:spacing w:val="-2"/>
        </w:rPr>
        <w:t>). Το «μονοβιβλίο» καθόριζε σε μεγάλο βαθμό τον τρόπο διδασκαλίας, περιορίζοντας την παιδαγωγική ελευθερία των εκπαιδευτικών και οδηγώντας σε μια "</w:t>
      </w:r>
      <w:r w:rsidRPr="00316AB9">
        <w:rPr>
          <w:iCs/>
          <w:color w:val="EE0000"/>
          <w:spacing w:val="-2"/>
        </w:rPr>
        <w:t>κλειστή</w:t>
      </w:r>
      <w:r w:rsidRPr="00316AB9">
        <w:rPr>
          <w:iCs/>
          <w:spacing w:val="-2"/>
        </w:rPr>
        <w:t>" ομοιομορφία της διδακτικής πράξης (</w:t>
      </w:r>
      <w:r w:rsidRPr="00316AB9">
        <w:rPr>
          <w:iCs/>
          <w:color w:val="EE0000"/>
          <w:spacing w:val="-2"/>
        </w:rPr>
        <w:t>Κουλαϊδής &amp; Κουζέλης, 1990</w:t>
      </w:r>
      <w:r w:rsidRPr="00316AB9">
        <w:rPr>
          <w:iCs/>
          <w:spacing w:val="-2"/>
        </w:rPr>
        <w:t xml:space="preserve">). Αν και το μοντέλο αυτό εξασφάλιζε ισότητα στην πρόσβαση σε ενιαίο υλικό, είχε δεχθεί έντονη κριτική για τη μονοδιάστατη προσέγγιση της γνώσης και την περιορισμένη ανάπτυξη της κριτικής σκέψης, </w:t>
      </w:r>
      <w:r w:rsidRPr="00316AB9">
        <w:rPr>
          <w:iCs/>
          <w:color w:val="EE0000"/>
          <w:spacing w:val="-2"/>
        </w:rPr>
        <w:t>καθώς το εγχειρίδιο ταυτιζόταν με την "απόλυτη αυθεντία" μέσα στην τάξη.</w:t>
      </w:r>
    </w:p>
    <w:p w14:paraId="661CD46C" w14:textId="77777777" w:rsidR="003F6493" w:rsidRPr="003F6493" w:rsidRDefault="003F6493" w:rsidP="003F6493">
      <w:pPr>
        <w:pStyle w:val="a3"/>
        <w:ind w:right="91"/>
        <w:jc w:val="both"/>
        <w:rPr>
          <w:i/>
          <w:spacing w:val="-2"/>
        </w:rPr>
      </w:pPr>
    </w:p>
    <w:p w14:paraId="6790C71F" w14:textId="5729792D" w:rsidR="003F6493" w:rsidRPr="003F6493" w:rsidRDefault="003F6493" w:rsidP="0091628B">
      <w:pPr>
        <w:pStyle w:val="a3"/>
        <w:ind w:left="0" w:right="91" w:firstLine="284"/>
        <w:jc w:val="both"/>
        <w:rPr>
          <w:i/>
          <w:spacing w:val="-2"/>
        </w:rPr>
      </w:pPr>
      <w:r w:rsidRPr="003F6493">
        <w:rPr>
          <w:i/>
          <w:spacing w:val="-2"/>
        </w:rPr>
        <w:t>Η εισαγωγή του Πολλαπλού Βιβλίου</w:t>
      </w:r>
    </w:p>
    <w:p w14:paraId="12BCEDB4" w14:textId="77777777" w:rsidR="004D6E0F" w:rsidRPr="004D6E0F" w:rsidRDefault="004D6E0F" w:rsidP="0091628B">
      <w:pPr>
        <w:pStyle w:val="a3"/>
        <w:ind w:left="0" w:right="91" w:firstLine="284"/>
        <w:jc w:val="both"/>
        <w:rPr>
          <w:iCs/>
          <w:color w:val="EE0000"/>
          <w:spacing w:val="-2"/>
        </w:rPr>
      </w:pPr>
      <w:r w:rsidRPr="004D6E0F">
        <w:rPr>
          <w:iCs/>
          <w:color w:val="EE0000"/>
          <w:spacing w:val="-2"/>
        </w:rPr>
        <w:t>Η μετάβαση στον παιδαγωγικό πλουραλισμό επισημοποιείται με τις πρόσφατες δράσεις του ΙΕΠ (2024), οι οποίες καθορίζουν τις προδιαγραφές για τη συγγραφή και την αξιολόγηση των νέων εγχειριδίων. Η κίνηση αυτή ανταποκρίνεται στην ανάγκη για ένα "ανοιχτό" εκπαιδευτικό σύστημα που προωθεί την κριτική σκέψη και την αυτονομία, αρχές που υποστηρίζονται από τη σύγχρονη εμπειρική έρευνα για τη συγκρότηση των προγραμμάτων σπουδών και τη διδακτική μεθοδολογία στη Δευτεροβάθμια Εκπαίδευση (Κουλαϊδής κ.ά., 2007).</w:t>
      </w:r>
    </w:p>
    <w:p w14:paraId="62B34D32" w14:textId="77777777" w:rsidR="004D6E0F" w:rsidRDefault="004D6E0F" w:rsidP="0091628B">
      <w:pPr>
        <w:pStyle w:val="a3"/>
        <w:ind w:left="0" w:right="91" w:firstLine="284"/>
        <w:jc w:val="both"/>
        <w:rPr>
          <w:iCs/>
          <w:spacing w:val="-2"/>
        </w:rPr>
      </w:pPr>
    </w:p>
    <w:p w14:paraId="2BFAC943" w14:textId="74F7D500" w:rsidR="0091628B" w:rsidRDefault="003F6493" w:rsidP="0091628B">
      <w:pPr>
        <w:pStyle w:val="a3"/>
        <w:ind w:left="0" w:right="91" w:firstLine="284"/>
        <w:jc w:val="both"/>
        <w:rPr>
          <w:i/>
          <w:spacing w:val="-2"/>
        </w:rPr>
      </w:pPr>
      <w:r w:rsidRPr="003F6493">
        <w:rPr>
          <w:i/>
          <w:spacing w:val="-2"/>
        </w:rPr>
        <w:t>Πλεονεκτήματα του θεσμού</w:t>
      </w:r>
    </w:p>
    <w:p w14:paraId="20CABB17" w14:textId="77777777" w:rsidR="00823A3C" w:rsidRPr="00A76AB5" w:rsidRDefault="00823A3C" w:rsidP="00823A3C">
      <w:pPr>
        <w:pStyle w:val="a3"/>
        <w:ind w:right="91"/>
        <w:jc w:val="both"/>
        <w:rPr>
          <w:iCs/>
          <w:color w:val="EE0000"/>
          <w:spacing w:val="-2"/>
        </w:rPr>
      </w:pPr>
      <w:r w:rsidRPr="00A76AB5">
        <w:rPr>
          <w:iCs/>
          <w:color w:val="EE0000"/>
          <w:spacing w:val="-2"/>
        </w:rPr>
        <w:t>Η διεθνής εμπειρία και η εγχώρια βιβλιογραφία αναδεικνύουν τον θεσμό του Πολλαπλού Βιβλίου ως κρίσιμο εργαλείο για τον εκσυγχρονισμό της διδακτικής πράξης:</w:t>
      </w:r>
    </w:p>
    <w:p w14:paraId="46A15718" w14:textId="6B49884F" w:rsidR="00823A3C" w:rsidRPr="00A76AB5" w:rsidRDefault="00823A3C" w:rsidP="00823A3C">
      <w:pPr>
        <w:pStyle w:val="a3"/>
        <w:numPr>
          <w:ilvl w:val="0"/>
          <w:numId w:val="6"/>
        </w:numPr>
        <w:ind w:right="91"/>
        <w:jc w:val="both"/>
        <w:rPr>
          <w:iCs/>
          <w:color w:val="EE0000"/>
          <w:spacing w:val="-2"/>
        </w:rPr>
      </w:pPr>
      <w:r w:rsidRPr="00A76AB5">
        <w:rPr>
          <w:iCs/>
          <w:color w:val="EE0000"/>
          <w:spacing w:val="-2"/>
        </w:rPr>
        <w:t>Παιδαγωγικός Πλουραλισμός και Κριτική Σκέψη: Η έκθεση των μαθητών σε διαφορετικές ερμηνευτικές προσεγγίσεις ευνοεί την ανάπτυξη κριτικής στάσης απέναντι στη γνώση, απομακρύνοντας τη διδασκαλία από το δογματικό μοντέλο του ενός εγχειριδίου (Hattie, 2018; OECD, 2020).</w:t>
      </w:r>
    </w:p>
    <w:p w14:paraId="5A4F2B5F" w14:textId="0F109460" w:rsidR="00823A3C" w:rsidRPr="00A76AB5" w:rsidRDefault="00823A3C" w:rsidP="00823A3C">
      <w:pPr>
        <w:pStyle w:val="a3"/>
        <w:numPr>
          <w:ilvl w:val="0"/>
          <w:numId w:val="6"/>
        </w:numPr>
        <w:ind w:right="91"/>
        <w:jc w:val="both"/>
        <w:rPr>
          <w:iCs/>
          <w:color w:val="EE0000"/>
          <w:spacing w:val="-2"/>
        </w:rPr>
      </w:pPr>
      <w:r w:rsidRPr="00A76AB5">
        <w:rPr>
          <w:iCs/>
          <w:color w:val="EE0000"/>
          <w:spacing w:val="-2"/>
        </w:rPr>
        <w:t>Επαγγελματική Αυτονομία του Εκπαιδευτικού: Η δυνατότητα επιλογής υλικού  μετατρέπει τον εκπαιδευτικό από απλό εκτελεστή σε ενεργό σχεδιαστή της διδακτικής διαδικασίας (Ball &amp; Forzani, 2021). Αυτή η αυτονομία είναι θεμελιώδης για την ενίσχυση του επαγγελματικού του ρόλου, ειδικά στη Δευτεροβάθμια Εκπαίδευση (Κουλαϊδής, 1987).</w:t>
      </w:r>
    </w:p>
    <w:p w14:paraId="6C5BC9FD" w14:textId="78A48B8F" w:rsidR="00823A3C" w:rsidRPr="00A76AB5" w:rsidRDefault="00823A3C" w:rsidP="00823A3C">
      <w:pPr>
        <w:pStyle w:val="a3"/>
        <w:numPr>
          <w:ilvl w:val="0"/>
          <w:numId w:val="6"/>
        </w:numPr>
        <w:ind w:right="91"/>
        <w:jc w:val="both"/>
        <w:rPr>
          <w:iCs/>
          <w:color w:val="EE0000"/>
          <w:spacing w:val="-2"/>
        </w:rPr>
      </w:pPr>
      <w:r w:rsidRPr="00A76AB5">
        <w:rPr>
          <w:iCs/>
          <w:color w:val="EE0000"/>
          <w:spacing w:val="-2"/>
        </w:rPr>
        <w:t>Εξατομικευμένη Μάθηση: Η ύπαρξη πολλαπλών πηγών επιτρέπει την καλύτερη προσαρμογή της ύλης στις ανάγκες και το επίπεδο ετοιμότητας των μαθητών σε ετερογενείς τάξεις (Fullan, 2016).</w:t>
      </w:r>
    </w:p>
    <w:p w14:paraId="00EF3F56" w14:textId="42A0B72C" w:rsidR="00823A3C" w:rsidRPr="00A76AB5" w:rsidRDefault="00823A3C" w:rsidP="00823A3C">
      <w:pPr>
        <w:pStyle w:val="a3"/>
        <w:numPr>
          <w:ilvl w:val="0"/>
          <w:numId w:val="6"/>
        </w:numPr>
        <w:ind w:right="91"/>
        <w:jc w:val="both"/>
        <w:rPr>
          <w:iCs/>
          <w:color w:val="EE0000"/>
          <w:spacing w:val="-2"/>
        </w:rPr>
      </w:pPr>
      <w:r w:rsidRPr="00A76AB5">
        <w:rPr>
          <w:iCs/>
          <w:color w:val="EE0000"/>
          <w:spacing w:val="-2"/>
        </w:rPr>
        <w:t>Διαφοροποίηση της Διδακτικής Μεθοδολογίας: Η χρήση πολλαπλού υλικού υποστηρίζει τη μετάβαση από την αποστήθιση στην ανακαλυπτική μάθηση, καθώς το εκπαιδευτικό υλικό λειτουργεί πλέον ως εργαλείο διερεύνησης και όχι ως αυθεντία (Κουλαϊδής κ.ά., 2007).</w:t>
      </w:r>
    </w:p>
    <w:p w14:paraId="2E5006DA" w14:textId="77777777" w:rsidR="003F6493" w:rsidRPr="00A76AB5" w:rsidRDefault="003F6493" w:rsidP="003F6493">
      <w:pPr>
        <w:pStyle w:val="a3"/>
        <w:ind w:right="91"/>
        <w:jc w:val="both"/>
        <w:rPr>
          <w:i/>
          <w:color w:val="EE0000"/>
          <w:spacing w:val="-2"/>
        </w:rPr>
      </w:pPr>
    </w:p>
    <w:p w14:paraId="24DAD180" w14:textId="3AB57DD5" w:rsidR="003F6493" w:rsidRPr="003F6493" w:rsidRDefault="003F6493" w:rsidP="0091628B">
      <w:pPr>
        <w:pStyle w:val="a3"/>
        <w:ind w:left="0" w:right="91" w:firstLine="284"/>
        <w:jc w:val="both"/>
        <w:rPr>
          <w:i/>
          <w:spacing w:val="-2"/>
        </w:rPr>
      </w:pPr>
      <w:r w:rsidRPr="003F6493">
        <w:rPr>
          <w:i/>
          <w:spacing w:val="-2"/>
        </w:rPr>
        <w:t>Προκλήσεις και δυσκολίες εφαρμογής</w:t>
      </w:r>
    </w:p>
    <w:p w14:paraId="43B754AA" w14:textId="77777777" w:rsidR="00781A72" w:rsidRPr="00781A72" w:rsidRDefault="00781A72" w:rsidP="00781A72">
      <w:pPr>
        <w:pStyle w:val="a3"/>
        <w:ind w:left="0" w:right="91" w:firstLine="284"/>
        <w:jc w:val="both"/>
        <w:rPr>
          <w:iCs/>
          <w:color w:val="EE0000"/>
          <w:spacing w:val="-2"/>
        </w:rPr>
      </w:pPr>
      <w:r w:rsidRPr="00781A72">
        <w:rPr>
          <w:iCs/>
          <w:color w:val="EE0000"/>
          <w:spacing w:val="-2"/>
        </w:rPr>
        <w:t>Παρά τα θετικά στοιχεία, η διεθνής βιβλιογραφία και η εγχώρια εμπειρία αναδεικνύουν σημαντικές προκλήσεις κατά την εφαρμογή του θεσμού. Η έλλειψη εξειδικευμένης επιμόρφωσης αποτελεί το κυριότερο εμπόδιο για την ουσιαστική αξιοποίηση του πολλαπλού υλικού, καθώς οι εκπαιδευτικοί συχνά αισθάνονται απροετοίμαστοι να διαχειριστούν τον παιδαγωγικό πλουραλισμό στην πράξη (OECD, 2020). Παράλληλα, ανακύπτουν κρίσιμα ζητήματα σχετικά με τις υλικοτεχνικές υποδομές και το ψηφιακό χάσμα. Η πρόσβαση σε εναλλακτικό υλικό προϋποθέτει επαρκή τεχνολογικό εξοπλισμό, ενώ η άνιση κατανομή πόρων και ο διαφορετικός βαθμός ψηφιακού γραμματισμού των εκπαιδευτικών ενδέχεται να οδηγήσουν σε νέες εκπαιδευτικές ανισότητες (Κουλαϊδής, 2001).</w:t>
      </w:r>
    </w:p>
    <w:p w14:paraId="5C27388B" w14:textId="086C7453" w:rsidR="00781A72" w:rsidRPr="00781A72" w:rsidRDefault="00781A72" w:rsidP="00781A72">
      <w:pPr>
        <w:pStyle w:val="a3"/>
        <w:ind w:left="0" w:right="91" w:firstLine="284"/>
        <w:jc w:val="both"/>
        <w:rPr>
          <w:iCs/>
          <w:color w:val="EE0000"/>
          <w:spacing w:val="-2"/>
        </w:rPr>
      </w:pPr>
      <w:r w:rsidRPr="00781A72">
        <w:rPr>
          <w:iCs/>
          <w:color w:val="EE0000"/>
          <w:spacing w:val="-2"/>
        </w:rPr>
        <w:t xml:space="preserve">Επιπροσθέτως, ο αυξημένος εργασιακός φόρτος αποτελεί ανασταλτικό παράγοντα, καθώς οι εκπαιδευτικοί στη Δευτεροβάθμια Εκπαίδευση καλούνται να διαθέσουν σημαντικό χρόνο για τη μελέτη, τη σύγκριση και την τελική επιλογή των εγχειριδίων. Τέλος, η παράθεση πολλαπλών </w:t>
      </w:r>
      <w:r w:rsidRPr="00781A72">
        <w:rPr>
          <w:iCs/>
          <w:color w:val="EE0000"/>
          <w:spacing w:val="-2"/>
        </w:rPr>
        <w:lastRenderedPageBreak/>
        <w:t>εκδοχών της επιστημονικής γνώσης χωρίς την απαραίτητη διδακτική πλαισίωση ενδέχεται να προκαλέσει σύγχυση στους μαθητές, ιδιαίτερα στις περιπτώσεις όπου δεν έχουν αναπτυχθεί επαρκώς οι δεξιότητες κριτικής ανάλυσης πηγών (Koulaidis, 1987).</w:t>
      </w:r>
    </w:p>
    <w:p w14:paraId="5A98A042" w14:textId="77777777" w:rsidR="00781A72" w:rsidRPr="00781A72" w:rsidRDefault="00781A72" w:rsidP="00781A72">
      <w:pPr>
        <w:pStyle w:val="a3"/>
        <w:ind w:left="0" w:right="91" w:firstLine="284"/>
        <w:jc w:val="both"/>
        <w:rPr>
          <w:iCs/>
          <w:spacing w:val="-2"/>
        </w:rPr>
      </w:pPr>
    </w:p>
    <w:p w14:paraId="29D51712" w14:textId="77777777" w:rsidR="006F3CDF" w:rsidRPr="00AD5BF6" w:rsidRDefault="003F6493" w:rsidP="006F3CDF">
      <w:pPr>
        <w:pStyle w:val="a3"/>
        <w:ind w:left="0" w:right="91" w:firstLine="284"/>
        <w:jc w:val="both"/>
        <w:rPr>
          <w:i/>
          <w:spacing w:val="-2"/>
        </w:rPr>
      </w:pPr>
      <w:r w:rsidRPr="003F6493">
        <w:rPr>
          <w:i/>
          <w:spacing w:val="-2"/>
        </w:rPr>
        <w:t>Ισορροπία μεταξύ ελευθερίας και εθνικού πλαισίου</w:t>
      </w:r>
    </w:p>
    <w:p w14:paraId="5FF5E61E" w14:textId="0AE20F7C" w:rsidR="00C0391F" w:rsidRPr="006F3CDF" w:rsidRDefault="00C0391F" w:rsidP="006F3CDF">
      <w:pPr>
        <w:pStyle w:val="a3"/>
        <w:ind w:left="0" w:right="91" w:firstLine="284"/>
        <w:jc w:val="both"/>
        <w:rPr>
          <w:i/>
          <w:spacing w:val="-2"/>
        </w:rPr>
      </w:pPr>
      <w:r w:rsidRPr="000E2016">
        <w:rPr>
          <w:iCs/>
          <w:color w:val="EE0000"/>
          <w:spacing w:val="-2"/>
        </w:rPr>
        <w:t>Στον ελληνικό εκπαιδευτικό διάλογο, η εισαγωγή του Πολλαπλού Βιβλίου αναδεικνύει την κρίσιμη ανάγκη για ισορροπία ανάμεσα στην παιδαγωγική ελευθερία και τη διατήρηση ενός κοινού εθνικού πλαισίου αναφοράς. Η ελευθερία επιλογής ενδυναμώνει τον επαγγελματικό ρόλο του εκπαιδευτικού και καλλιεργεί την αυτονομία του (Ball &amp; Forzani, 20</w:t>
      </w:r>
      <w:r w:rsidR="002D434F" w:rsidRPr="002D434F">
        <w:rPr>
          <w:iCs/>
          <w:color w:val="EE0000"/>
          <w:spacing w:val="-2"/>
        </w:rPr>
        <w:t>21</w:t>
      </w:r>
      <w:r w:rsidRPr="000E2016">
        <w:rPr>
          <w:iCs/>
          <w:color w:val="EE0000"/>
          <w:spacing w:val="-2"/>
        </w:rPr>
        <w:t>), ενισχύοντας παράλληλα την κριτική σκέψη των μαθητών μέσα από τη χρήση πολλαπλών πηγών (Hattie, 2018). Ωστόσο, η διεθνής εμπειρία υπογραμμίζει ότι η απουσία ενός σαφώς ορισμένου πλαισίου ή η έλλειψη κατάλληλης επιμόρφωσης ενδέχεται να οδηγήσει σε εκπαιδευτικές ανισότητες (OECD, 2020).</w:t>
      </w:r>
    </w:p>
    <w:p w14:paraId="24DF1705" w14:textId="0D24AF97" w:rsidR="00AE5DEE" w:rsidRPr="000E2016" w:rsidRDefault="00C0391F" w:rsidP="00C0391F">
      <w:pPr>
        <w:pStyle w:val="a3"/>
        <w:ind w:left="0" w:firstLine="284"/>
        <w:jc w:val="both"/>
        <w:rPr>
          <w:color w:val="EE0000"/>
        </w:rPr>
      </w:pPr>
      <w:r w:rsidRPr="000E2016">
        <w:rPr>
          <w:iCs/>
          <w:color w:val="EE0000"/>
          <w:spacing w:val="-2"/>
        </w:rPr>
        <w:t>Στο πλαίσιο αυτό, η διατήρηση ενός κοινού προγράμματος σπουδών κρίνεται απαραίτητη για τη διασφάλιση της ισότητας στην πρόσβαση στη γνώση. Η επιστημονική τεκμηρίωση για τον σχεδιασμό των αναλυτικών προγραμμάτων στην Ελλάδα υποστηρίζει ότι η διδακτική ευελιξία πρέπει να πλαισιώνεται από σαφείς παιδαγωγικές και επιστημολογικές αρχές, ώστε να αποφεύγεται ο κατακερματισμός της σχολικής γνώσης (Κουλαϊδής, 1994). Η σύγχρονη προσέγγιση, όπως αποτυπώνεται και στις πρόσφατες κατευθύνσεις για το εκπαιδευτικό υλικό, επιδιώκει τον συνδυασμό της αυτονομίας του εκπαιδευτικού με την εγκυρότητα ενός εθνικού πλαισίου που εγγυάται την ποιότητα της παρεχόμενης εκπαίδευσης στη Δευτεροβάθμια βαθμίδα (Κουλαϊδής κ.ά., 2007)</w:t>
      </w:r>
      <w:r w:rsidR="00B60A6E" w:rsidRPr="000E2016">
        <w:rPr>
          <w:color w:val="EE0000"/>
        </w:rPr>
        <w:t>.</w:t>
      </w:r>
    </w:p>
    <w:p w14:paraId="56642846" w14:textId="77777777" w:rsidR="0044100F" w:rsidRDefault="0044100F" w:rsidP="00C6446D">
      <w:pPr>
        <w:tabs>
          <w:tab w:val="left" w:pos="666"/>
        </w:tabs>
        <w:rPr>
          <w:b/>
          <w:bCs/>
        </w:rPr>
      </w:pPr>
    </w:p>
    <w:p w14:paraId="44B96E4F" w14:textId="77777777" w:rsidR="004C7325" w:rsidRDefault="00C6446D" w:rsidP="004C7325">
      <w:pPr>
        <w:tabs>
          <w:tab w:val="left" w:pos="666"/>
        </w:tabs>
        <w:ind w:firstLine="284"/>
        <w:rPr>
          <w:b/>
          <w:bCs/>
        </w:rPr>
      </w:pPr>
      <w:r w:rsidRPr="00C6446D">
        <w:rPr>
          <w:b/>
          <w:bCs/>
        </w:rPr>
        <w:t>Επιστημονική μέθοδος</w:t>
      </w:r>
    </w:p>
    <w:p w14:paraId="6E2FAB73" w14:textId="77777777" w:rsidR="004C7325" w:rsidRPr="004C7325" w:rsidRDefault="004C7325" w:rsidP="004C7325">
      <w:pPr>
        <w:tabs>
          <w:tab w:val="left" w:pos="666"/>
        </w:tabs>
        <w:ind w:firstLine="284"/>
        <w:jc w:val="both"/>
        <w:rPr>
          <w:b/>
          <w:bCs/>
          <w:color w:val="EE0000"/>
        </w:rPr>
      </w:pPr>
      <w:r w:rsidRPr="004C7325">
        <w:rPr>
          <w:color w:val="EE0000"/>
        </w:rPr>
        <w:t>Η παρούσα μελέτη στηρίχθηκε στην ποσοτική ερευνητική προσέγγιση ως βασικό εργαλείο διερεύνησης και ανάλυσης των εκπαιδευτικών αντιλήψεων, με στόχο την κατανόηση των δυνατοτήτων και των προκλήσεων του θεσμού του Πολλαπλού Βιβλίου. Η επιλογή αυτή παρείχε ένα συστηματικό πλαίσιο συλλογής και ανάλυσης δεδομένων, διασφαλίζοντας την αντικειμενικότητα των συμπερασμάτων μέσω της στατιστικής επεξεργασίας. Η έρευνα ξεκίνησε με τη διατύπωση ερευνητικών ερωτημάτων που επικεντρώθηκαν στην αποτύπωση των απόψεων των εκπαιδευτικών σχετικά με τα πλεονεκτήματα, τις δυσκολίες και τις επιπτώσεις της εφαρμογής του Πολλαπλού Βιβλίου στη διδακτική διαδικασία. Η επιλογή του αντικειμένου συνδέθηκε άμεσα με το θεωρητικό πλαίσιο του παιδαγωγικού πλουραλισμού, καθώς η βιβλιογραφία υπογραμμίζει τον καθοριστικό ρόλο των πολλαπλών πηγών μάθησης στην ενίσχυση της αυτονομίας του εκπαιδευτικού και στην ανάπτυξη της κριτικής σκέψης των μαθητών (Κουλαϊδής κ.ά., 2007· OECD, 2020).</w:t>
      </w:r>
    </w:p>
    <w:p w14:paraId="504100F1" w14:textId="77777777" w:rsidR="004C7325" w:rsidRPr="004C7325" w:rsidRDefault="004C7325" w:rsidP="004C7325">
      <w:pPr>
        <w:tabs>
          <w:tab w:val="left" w:pos="666"/>
        </w:tabs>
        <w:ind w:firstLine="284"/>
        <w:jc w:val="both"/>
        <w:rPr>
          <w:b/>
          <w:bCs/>
          <w:color w:val="EE0000"/>
        </w:rPr>
      </w:pPr>
      <w:r w:rsidRPr="004C7325">
        <w:rPr>
          <w:color w:val="EE0000"/>
        </w:rPr>
        <w:t>Για τη συλλογή των δεδομένων χρησιμοποιήθηκε τροποποιημένο ερωτηματολόγιο, το οποίο βασίστηκε σε διεθνή πρότυπα αξιολόγησης στάσεων εκπαιδευτικών (Ball &amp; Forzani, 2021) και προσαρμόστηκε στις ανάγκες της ελληνικής Δευτεροβάθμιας Εκπαίδευσης. Το ερωτηματολόγιο αποτελούνταν από ποσοτικές ερωτήσεις κλίμακας Likert, καλύπτοντας τρεις κύριες διαστάσεις: τα πλεονεκτήματα του θεσμού, τις δυσκολίες εφαρμογής και τις επιπτώσεις στη διδασκαλία. Παράλληλα, ενσωματώθηκαν ερωτήσεις δημογραφικού χαρακτήρα για τη διερεύνηση διαφοροποιήσεων με βάση την ηλικία, τη διδακτική εμπειρία και την ειδικότητα. Η ανάλυση των δεδομένων πραγματοποιήθηκε σε ποσοτικό επίπεδο με τη χρήση στατιστικών μεθόδων μέσω του λογισμικού SPSS, περιλαμβάνοντας ελέγχους περιγραφικής στατιστικής και αναλύσεις συσχέτισης.</w:t>
      </w:r>
    </w:p>
    <w:p w14:paraId="294E51EC" w14:textId="3AFB282C" w:rsidR="0044100F" w:rsidRPr="004C7325" w:rsidRDefault="004C7325" w:rsidP="004C7325">
      <w:pPr>
        <w:tabs>
          <w:tab w:val="left" w:pos="666"/>
        </w:tabs>
        <w:ind w:firstLine="284"/>
        <w:jc w:val="both"/>
        <w:rPr>
          <w:color w:val="EE0000"/>
        </w:rPr>
      </w:pPr>
      <w:r w:rsidRPr="004C7325">
        <w:rPr>
          <w:color w:val="EE0000"/>
        </w:rPr>
        <w:t xml:space="preserve">Προκειμένου να διασφαλιστεί η μεθοδολογική αυστηρότητα, ελήφθη μέριμνα για τον περιορισμό της μεροληψίας κοινού τρόπου (common-method bias), ενώ αποσαφηνίζεται ότι τα αποτελέσματα αναδεικνύουν στατιστικές συσχετίσεις και δεν τεκμηριώνουν σχέσεις αιτιότητας. Τα συμπεράσματα συγκρίθηκαν με το διεθνές και ελληνικό θεωρητικό πλαίσιο, επιβεβαιώνοντας τη συζήτηση γύρω από την ανάγκη για στοχευμένη επιμόρφωση και ισότιμη πρόσβαση σε πόρους. Μέσω της συστηματικής εφαρμογής της ποσοτικής μεθόδου και της διασφάλισης της αναπαραγωγιμότητας μέσω της δήλωσης διαθεσιμότητας των δεδομένων (Data Availability Statement), η μελέτη παρέχει τεκμηριωμένες προτάσεις για τη βελτίωση της εκπαιδευτικής </w:t>
      </w:r>
      <w:r w:rsidRPr="004C7325">
        <w:rPr>
          <w:color w:val="EE0000"/>
        </w:rPr>
        <w:lastRenderedPageBreak/>
        <w:t>πολιτικής στον τομέα των σχολικών εγχειριδίων.</w:t>
      </w:r>
      <w:r w:rsidR="00AF7E7E" w:rsidRPr="004C7325">
        <w:rPr>
          <w:color w:val="EE0000"/>
        </w:rPr>
        <w:t xml:space="preserve"> </w:t>
      </w:r>
    </w:p>
    <w:p w14:paraId="40D7C628" w14:textId="77777777" w:rsidR="004C7325" w:rsidRPr="004C7325" w:rsidRDefault="004C7325" w:rsidP="004C7325">
      <w:pPr>
        <w:tabs>
          <w:tab w:val="left" w:pos="666"/>
        </w:tabs>
        <w:ind w:firstLine="284"/>
        <w:rPr>
          <w:b/>
          <w:bCs/>
        </w:rPr>
      </w:pPr>
    </w:p>
    <w:p w14:paraId="115B0C74" w14:textId="77777777" w:rsidR="0044100F" w:rsidRDefault="00AF7E7E" w:rsidP="0044100F">
      <w:pPr>
        <w:tabs>
          <w:tab w:val="left" w:pos="666"/>
        </w:tabs>
        <w:ind w:firstLine="284"/>
        <w:jc w:val="both"/>
        <w:rPr>
          <w:bCs/>
          <w:i/>
          <w:iCs/>
          <w:spacing w:val="-2"/>
        </w:rPr>
      </w:pPr>
      <w:r w:rsidRPr="000F2B8C">
        <w:rPr>
          <w:bCs/>
          <w:i/>
          <w:iCs/>
        </w:rPr>
        <w:t>Ερευνητικό</w:t>
      </w:r>
      <w:r w:rsidRPr="000F2B8C">
        <w:rPr>
          <w:bCs/>
          <w:i/>
          <w:iCs/>
          <w:spacing w:val="-11"/>
        </w:rPr>
        <w:t xml:space="preserve"> </w:t>
      </w:r>
      <w:r w:rsidRPr="000F2B8C">
        <w:rPr>
          <w:bCs/>
          <w:i/>
          <w:iCs/>
          <w:spacing w:val="-2"/>
        </w:rPr>
        <w:t>ερώτημα</w:t>
      </w:r>
    </w:p>
    <w:p w14:paraId="48B96FD0" w14:textId="536629B6" w:rsidR="00A3096A" w:rsidRDefault="00000000" w:rsidP="0044100F">
      <w:pPr>
        <w:tabs>
          <w:tab w:val="left" w:pos="666"/>
        </w:tabs>
        <w:ind w:firstLine="284"/>
        <w:jc w:val="both"/>
      </w:pPr>
      <w:r>
        <w:t>Η</w:t>
      </w:r>
      <w:r>
        <w:rPr>
          <w:spacing w:val="-10"/>
        </w:rPr>
        <w:t xml:space="preserve"> </w:t>
      </w:r>
      <w:r>
        <w:t>ερευνητική</w:t>
      </w:r>
      <w:r>
        <w:rPr>
          <w:spacing w:val="-9"/>
        </w:rPr>
        <w:t xml:space="preserve"> </w:t>
      </w:r>
      <w:r>
        <w:t>μελέτη</w:t>
      </w:r>
      <w:r>
        <w:rPr>
          <w:spacing w:val="-9"/>
        </w:rPr>
        <w:t xml:space="preserve"> </w:t>
      </w:r>
      <w:r>
        <w:t>που</w:t>
      </w:r>
      <w:r>
        <w:rPr>
          <w:spacing w:val="-8"/>
        </w:rPr>
        <w:t xml:space="preserve"> </w:t>
      </w:r>
      <w:r>
        <w:t>έλαβε</w:t>
      </w:r>
      <w:r>
        <w:rPr>
          <w:spacing w:val="-8"/>
        </w:rPr>
        <w:t xml:space="preserve"> </w:t>
      </w:r>
      <w:r>
        <w:t>χώρα</w:t>
      </w:r>
      <w:r>
        <w:rPr>
          <w:spacing w:val="-9"/>
        </w:rPr>
        <w:t xml:space="preserve"> </w:t>
      </w:r>
      <w:r>
        <w:t>καθοδηγήθηκε</w:t>
      </w:r>
      <w:r>
        <w:rPr>
          <w:spacing w:val="-9"/>
        </w:rPr>
        <w:t xml:space="preserve"> </w:t>
      </w:r>
      <w:r>
        <w:t>από</w:t>
      </w:r>
      <w:r>
        <w:rPr>
          <w:spacing w:val="-10"/>
        </w:rPr>
        <w:t xml:space="preserve"> </w:t>
      </w:r>
      <w:r>
        <w:t>το</w:t>
      </w:r>
      <w:r>
        <w:rPr>
          <w:spacing w:val="-8"/>
        </w:rPr>
        <w:t xml:space="preserve"> </w:t>
      </w:r>
      <w:r>
        <w:t>ερευνητικό</w:t>
      </w:r>
      <w:r>
        <w:rPr>
          <w:spacing w:val="-8"/>
        </w:rPr>
        <w:t xml:space="preserve"> </w:t>
      </w:r>
      <w:r>
        <w:rPr>
          <w:spacing w:val="-2"/>
        </w:rPr>
        <w:t>ερώτημα:</w:t>
      </w:r>
    </w:p>
    <w:p w14:paraId="6D766E07" w14:textId="3890DB7E" w:rsidR="00AE5DEE" w:rsidRDefault="00000000" w:rsidP="0044100F">
      <w:pPr>
        <w:pStyle w:val="a3"/>
        <w:spacing w:before="1"/>
        <w:ind w:left="0" w:right="96" w:firstLine="284"/>
        <w:jc w:val="both"/>
      </w:pPr>
      <w:r>
        <w:t xml:space="preserve">- </w:t>
      </w:r>
      <w:r w:rsidR="00AE5DEE" w:rsidRPr="00AE5DEE">
        <w:t>Ποιες είναι οι αντιλήψεις των Ελλήνων εκπαιδευτικών</w:t>
      </w:r>
      <w:r w:rsidR="00E82406">
        <w:t xml:space="preserve"> δευτεροβάθμιας εκπαίδευσης</w:t>
      </w:r>
      <w:r w:rsidR="00AE5DEE" w:rsidRPr="00AE5DEE">
        <w:t xml:space="preserve"> για το Πολλαπλό Βιβλίο ως προς την παιδαγωγική αξία, τα μαθησιακά οφέλη, τις δυσκολίες εφαρμογής και τον θεσμό ως εκπαιδευτική πολιτική;</w:t>
      </w:r>
    </w:p>
    <w:p w14:paraId="23489A8A" w14:textId="77777777" w:rsidR="0044100F" w:rsidRDefault="0044100F" w:rsidP="0044100F">
      <w:pPr>
        <w:rPr>
          <w:i/>
        </w:rPr>
      </w:pPr>
    </w:p>
    <w:p w14:paraId="5BD67D84" w14:textId="2BB03E09" w:rsidR="00E16E85" w:rsidRPr="00E60F37" w:rsidRDefault="00E16E85" w:rsidP="0044100F">
      <w:pPr>
        <w:ind w:firstLine="284"/>
        <w:rPr>
          <w:b/>
          <w:bCs/>
          <w:i/>
        </w:rPr>
      </w:pPr>
      <w:r w:rsidRPr="00E60F37">
        <w:rPr>
          <w:b/>
          <w:bCs/>
          <w:i/>
        </w:rPr>
        <w:t>Μέθοδος</w:t>
      </w:r>
    </w:p>
    <w:p w14:paraId="01C3E2B7" w14:textId="023F9226" w:rsidR="002A6948" w:rsidRDefault="00000000" w:rsidP="0044100F">
      <w:pPr>
        <w:ind w:firstLine="284"/>
      </w:pPr>
      <w:r>
        <w:rPr>
          <w:i/>
        </w:rPr>
        <w:t>Ερευνητικό</w:t>
      </w:r>
      <w:r>
        <w:rPr>
          <w:i/>
          <w:spacing w:val="-13"/>
        </w:rPr>
        <w:t xml:space="preserve"> </w:t>
      </w:r>
      <w:r>
        <w:rPr>
          <w:i/>
          <w:spacing w:val="-2"/>
        </w:rPr>
        <w:t>Εργαλείο</w:t>
      </w:r>
    </w:p>
    <w:p w14:paraId="1004F605" w14:textId="6036B3D1" w:rsidR="00685EA2" w:rsidRPr="00685EA2" w:rsidRDefault="00685EA2" w:rsidP="00685EA2">
      <w:pPr>
        <w:ind w:firstLine="284"/>
        <w:jc w:val="both"/>
        <w:rPr>
          <w:color w:val="EE0000"/>
        </w:rPr>
      </w:pPr>
      <w:r w:rsidRPr="00685EA2">
        <w:rPr>
          <w:color w:val="EE0000"/>
        </w:rPr>
        <w:t>Το ερευνητικό εργαλείο που χρησιμοποιήθηκε για τη διερεύνηση των αντιλήψεων των εκπαιδευτικών σχετικά με το Πολλαπλό Βιβλίο αποτελείται από 17 ερωτήσεις και διαρθρώνεται σε δύο διακριτά μέρη. Το πρώτο μέρος περιλαμβάνει πέντε ερωτήσεις δημογραφικού χαρακτήρα, οι οποίες αφορούν το φύλο, την ηλικία, την εκπαιδευτική βαθμίδα διδασκαλίας, τη διδακτική εμπειρία και την ειδικότητα των συμμετεχόντων. Το δεύτερο μέρος αποτελείται από 12 ερωτήσεις που εξετάζουν τις αντιλήψεις και στάσεις των εκπαιδευτικών απέναντι στον θεσμό, οργανωμένες σε τρεις κεντρικούς άξονες. Συγκεκριμένα, εξετάζεται η παιδαγωγική διάσταση ως προς την προώθηση της ελευθερίας και της κριτικής σκέψης, οι δυσκολίες εφαρμογής που σχετίζονται με τις υποδομές και τον εργασιακό φόρτο, καθώς και οι επιπτώσεις στην ποιότητα της διδασκαλίας και την αυτονομία του εκπαιδευτικού.</w:t>
      </w:r>
    </w:p>
    <w:p w14:paraId="36FD0B7F" w14:textId="2D9D31CB" w:rsidR="00685EA2" w:rsidRPr="00685EA2" w:rsidRDefault="00685EA2" w:rsidP="00685EA2">
      <w:pPr>
        <w:ind w:firstLine="284"/>
        <w:jc w:val="both"/>
        <w:rPr>
          <w:color w:val="EE0000"/>
        </w:rPr>
      </w:pPr>
      <w:r w:rsidRPr="00685EA2">
        <w:rPr>
          <w:color w:val="EE0000"/>
        </w:rPr>
        <w:t>Οι ερωτήσεις του δεύτερου μέρους διατυπώθηκαν με τη χρήση πενταβάθμιας κλίμακας Likert, από το «Καθόλου» έως το «Πάρα πολύ», επιτρέποντας τη συστηματική μέτρηση της έντασης των στάσεων και τη στατιστική τους επεξεργασία (Likert, 1932· Boone &amp; Boone, 2012). Η εγκυρότητα περιεχομένου του εργαλείου διασφαλίστηκε μέσω της σύνδεσης των ερωτήσεων με το σύγχρονο θεωρητικό πλαίσιο για τον παιδαγωγικό πλουραλισμό και το εκπαιδευτικό υλικό (Κουλαϊδής κ.ά., 2007), καθώς και με διεθνή πρότυπα αξιολόγησης (OECD, 2020). Παράλληλα, η αξιοπιστία εσωτερικής συνάφειας του οργάνου επιβεβαιώθηκε μέσω του δείκτη Cronbach’s α, οι τιμές του οποίου κρίθηκαν ικανοποιητικές για το σύνολο των υπό μελέτη διαστάσεων.</w:t>
      </w:r>
    </w:p>
    <w:p w14:paraId="0854C2A3" w14:textId="315BB257" w:rsidR="00E16E85" w:rsidRDefault="00685EA2" w:rsidP="00990992">
      <w:pPr>
        <w:ind w:firstLine="284"/>
        <w:jc w:val="both"/>
      </w:pPr>
      <w:r w:rsidRPr="00685EA2">
        <w:rPr>
          <w:color w:val="EE0000"/>
        </w:rPr>
        <w:t>Για την ενίσχυση της διαφάνειας και της αναπαραγωγιμότητας της μελέτης, τα ανωνυμοποιημένα ακατέργαστα δεδομένα είναι διαθέσιμα από τον συγγραφέα κατόπιν εύλογου αιτήματος (Data Availability Statement). Στο πλαίσιο της μεθοδολογικής αυστηρότητας, ελήφθη μέριμνα για τον περιορισμό της μεροληψίας κοινού τρόπου (common-method bias) μέσω της διασφάλισης της ανωνυμίας και της σαφήνειας των ερωτήσεων, ενώ αποσαφηνίζεται ότι τα ευρήματα της έρευνας αναδεικνύουν στατιστικές συσχετίσεις και δεν τεκμηριώνουν σχέσεις αιτιότητας. Η ψηφιακή διανομή του ερωτηματολογίου πραγματοποιήθηκε μέσω της πλατφόρμας Google Forms, διασφαλίζοντας την προσβασιμότητα και την εγκυρότητα της συλλογής των δεδομένων.</w:t>
      </w:r>
      <w:r>
        <w:rPr>
          <w:color w:val="EE0000"/>
        </w:rPr>
        <w:t xml:space="preserve"> </w:t>
      </w:r>
      <w:r w:rsidR="00876271" w:rsidRPr="00876271">
        <w:t xml:space="preserve">Το ερωτηματολόγιο είναι αναρτημένο στο </w:t>
      </w:r>
      <w:r w:rsidR="00D5658E">
        <w:rPr>
          <w:lang w:val="en-US"/>
        </w:rPr>
        <w:t>g</w:t>
      </w:r>
      <w:r w:rsidR="00876271" w:rsidRPr="00876271">
        <w:rPr>
          <w:lang w:val="en-US"/>
        </w:rPr>
        <w:t>oogle</w:t>
      </w:r>
      <w:r w:rsidR="00876271" w:rsidRPr="00876271">
        <w:t xml:space="preserve"> </w:t>
      </w:r>
      <w:r w:rsidR="00D5658E">
        <w:rPr>
          <w:lang w:val="en-US"/>
        </w:rPr>
        <w:t>f</w:t>
      </w:r>
      <w:r w:rsidR="00876271" w:rsidRPr="00876271">
        <w:rPr>
          <w:lang w:val="en-US"/>
        </w:rPr>
        <w:t>orm</w:t>
      </w:r>
      <w:r w:rsidR="00876271" w:rsidRPr="00876271">
        <w:t xml:space="preserve"> </w:t>
      </w:r>
      <w:r w:rsidR="00D5658E" w:rsidRPr="00D5658E">
        <w:t>(</w:t>
      </w:r>
      <w:hyperlink r:id="rId9" w:history="1">
        <w:r w:rsidR="00990992" w:rsidRPr="008D4DB8">
          <w:rPr>
            <w:rStyle w:val="-"/>
            <w:lang w:val="en-US"/>
          </w:rPr>
          <w:t>https</w:t>
        </w:r>
        <w:r w:rsidR="00990992" w:rsidRPr="008D4DB8">
          <w:rPr>
            <w:rStyle w:val="-"/>
          </w:rPr>
          <w:t>://</w:t>
        </w:r>
        <w:r w:rsidR="00990992" w:rsidRPr="008D4DB8">
          <w:rPr>
            <w:rStyle w:val="-"/>
            <w:lang w:val="en-US"/>
          </w:rPr>
          <w:t>docs</w:t>
        </w:r>
        <w:r w:rsidR="00990992" w:rsidRPr="008D4DB8">
          <w:rPr>
            <w:rStyle w:val="-"/>
          </w:rPr>
          <w:t>.</w:t>
        </w:r>
        <w:r w:rsidR="00990992" w:rsidRPr="008D4DB8">
          <w:rPr>
            <w:rStyle w:val="-"/>
            <w:lang w:val="en-US"/>
          </w:rPr>
          <w:t>google</w:t>
        </w:r>
        <w:r w:rsidR="00990992" w:rsidRPr="008D4DB8">
          <w:rPr>
            <w:rStyle w:val="-"/>
          </w:rPr>
          <w:t>.</w:t>
        </w:r>
        <w:r w:rsidR="00990992" w:rsidRPr="008D4DB8">
          <w:rPr>
            <w:rStyle w:val="-"/>
            <w:lang w:val="en-US"/>
          </w:rPr>
          <w:t>com</w:t>
        </w:r>
        <w:r w:rsidR="00990992" w:rsidRPr="008D4DB8">
          <w:rPr>
            <w:rStyle w:val="-"/>
          </w:rPr>
          <w:t>/</w:t>
        </w:r>
        <w:r w:rsidR="00990992" w:rsidRPr="008D4DB8">
          <w:rPr>
            <w:rStyle w:val="-"/>
            <w:lang w:val="en-US"/>
          </w:rPr>
          <w:t>forms</w:t>
        </w:r>
        <w:r w:rsidR="00990992" w:rsidRPr="008D4DB8">
          <w:rPr>
            <w:rStyle w:val="-"/>
          </w:rPr>
          <w:t>/</w:t>
        </w:r>
        <w:r w:rsidR="00990992" w:rsidRPr="008D4DB8">
          <w:rPr>
            <w:rStyle w:val="-"/>
            <w:lang w:val="en-US"/>
          </w:rPr>
          <w:t>d</w:t>
        </w:r>
        <w:r w:rsidR="00990992" w:rsidRPr="008D4DB8">
          <w:rPr>
            <w:rStyle w:val="-"/>
          </w:rPr>
          <w:t>/</w:t>
        </w:r>
        <w:r w:rsidR="00990992" w:rsidRPr="008D4DB8">
          <w:rPr>
            <w:rStyle w:val="-"/>
            <w:lang w:val="en-US"/>
          </w:rPr>
          <w:t>e</w:t>
        </w:r>
        <w:r w:rsidR="00990992" w:rsidRPr="008D4DB8">
          <w:rPr>
            <w:rStyle w:val="-"/>
          </w:rPr>
          <w:t>/1</w:t>
        </w:r>
        <w:r w:rsidR="00990992" w:rsidRPr="008D4DB8">
          <w:rPr>
            <w:rStyle w:val="-"/>
            <w:lang w:val="en-US"/>
          </w:rPr>
          <w:t>FAIpQLSeHlJonmj</w:t>
        </w:r>
        <w:r w:rsidR="00990992" w:rsidRPr="008D4DB8">
          <w:rPr>
            <w:rStyle w:val="-"/>
          </w:rPr>
          <w:t>4</w:t>
        </w:r>
        <w:r w:rsidR="00990992" w:rsidRPr="008D4DB8">
          <w:rPr>
            <w:rStyle w:val="-"/>
            <w:lang w:val="en-US"/>
          </w:rPr>
          <w:t>j</w:t>
        </w:r>
        <w:r w:rsidR="00990992" w:rsidRPr="008D4DB8">
          <w:rPr>
            <w:rStyle w:val="-"/>
          </w:rPr>
          <w:t>1</w:t>
        </w:r>
        <w:r w:rsidR="00990992" w:rsidRPr="008D4DB8">
          <w:rPr>
            <w:rStyle w:val="-"/>
            <w:lang w:val="en-US"/>
          </w:rPr>
          <w:t>IJc</w:t>
        </w:r>
        <w:r w:rsidR="00990992" w:rsidRPr="008D4DB8">
          <w:rPr>
            <w:rStyle w:val="-"/>
          </w:rPr>
          <w:t>5</w:t>
        </w:r>
        <w:r w:rsidR="00990992" w:rsidRPr="008D4DB8">
          <w:rPr>
            <w:rStyle w:val="-"/>
            <w:lang w:val="en-US"/>
          </w:rPr>
          <w:t>Pz</w:t>
        </w:r>
        <w:r w:rsidR="00990992" w:rsidRPr="008D4DB8">
          <w:rPr>
            <w:rStyle w:val="-"/>
          </w:rPr>
          <w:t>0</w:t>
        </w:r>
        <w:r w:rsidR="00990992" w:rsidRPr="008D4DB8">
          <w:rPr>
            <w:rStyle w:val="-"/>
            <w:lang w:val="en-US"/>
          </w:rPr>
          <w:t>UZhPjo</w:t>
        </w:r>
        <w:r w:rsidR="00990992" w:rsidRPr="008D4DB8">
          <w:rPr>
            <w:rStyle w:val="-"/>
          </w:rPr>
          <w:t>_</w:t>
        </w:r>
        <w:r w:rsidR="00990992" w:rsidRPr="008D4DB8">
          <w:rPr>
            <w:rStyle w:val="-"/>
            <w:lang w:val="en-US"/>
          </w:rPr>
          <w:t>mQT</w:t>
        </w:r>
        <w:r w:rsidR="00990992" w:rsidRPr="008D4DB8">
          <w:rPr>
            <w:rStyle w:val="-"/>
          </w:rPr>
          <w:t>4</w:t>
        </w:r>
        <w:r w:rsidR="00990992" w:rsidRPr="008D4DB8">
          <w:rPr>
            <w:rStyle w:val="-"/>
            <w:lang w:val="en-US"/>
          </w:rPr>
          <w:t>CmhWp</w:t>
        </w:r>
        <w:r w:rsidR="00990992" w:rsidRPr="008D4DB8">
          <w:rPr>
            <w:rStyle w:val="-"/>
          </w:rPr>
          <w:t>2</w:t>
        </w:r>
        <w:r w:rsidR="00990992" w:rsidRPr="008D4DB8">
          <w:rPr>
            <w:rStyle w:val="-"/>
            <w:lang w:val="en-US"/>
          </w:rPr>
          <w:t>K</w:t>
        </w:r>
        <w:r w:rsidR="00990992" w:rsidRPr="008D4DB8">
          <w:rPr>
            <w:rStyle w:val="-"/>
          </w:rPr>
          <w:t>08</w:t>
        </w:r>
        <w:r w:rsidR="00990992" w:rsidRPr="008D4DB8">
          <w:rPr>
            <w:rStyle w:val="-"/>
            <w:lang w:val="en-US"/>
          </w:rPr>
          <w:t>hFLpi</w:t>
        </w:r>
        <w:r w:rsidR="00990992" w:rsidRPr="008D4DB8">
          <w:rPr>
            <w:rStyle w:val="-"/>
          </w:rPr>
          <w:t>7</w:t>
        </w:r>
        <w:r w:rsidR="00990992" w:rsidRPr="008D4DB8">
          <w:rPr>
            <w:rStyle w:val="-"/>
            <w:lang w:val="en-US"/>
          </w:rPr>
          <w:t>ef</w:t>
        </w:r>
        <w:r w:rsidR="00990992" w:rsidRPr="008D4DB8">
          <w:rPr>
            <w:rStyle w:val="-"/>
          </w:rPr>
          <w:t>2</w:t>
        </w:r>
        <w:r w:rsidR="00990992" w:rsidRPr="008D4DB8">
          <w:rPr>
            <w:rStyle w:val="-"/>
            <w:lang w:val="en-US"/>
          </w:rPr>
          <w:t>A</w:t>
        </w:r>
        <w:r w:rsidR="00990992" w:rsidRPr="008D4DB8">
          <w:rPr>
            <w:rStyle w:val="-"/>
          </w:rPr>
          <w:t>/</w:t>
        </w:r>
        <w:r w:rsidR="00990992" w:rsidRPr="008D4DB8">
          <w:rPr>
            <w:rStyle w:val="-"/>
            <w:lang w:val="en-US"/>
          </w:rPr>
          <w:t>viewform</w:t>
        </w:r>
      </w:hyperlink>
      <w:r w:rsidR="00D5658E" w:rsidRPr="00D5658E">
        <w:t>)</w:t>
      </w:r>
      <w:r w:rsidR="00876271" w:rsidRPr="00876271">
        <w:t>.</w:t>
      </w:r>
      <w:r w:rsidR="00990992">
        <w:t xml:space="preserve"> </w:t>
      </w:r>
      <w:r w:rsidR="002A6948">
        <w:t>Η εγκυρότητα περιεχομένου του εργαλείου διασφαλίστηκε μέσω της σύνδεσης των ερωτήσεων με το θεωρητικό πλαίσιο της μελέτης και με διεθνείς επιστημονικές αναφορές (Hattie, 2018· Ball &amp; Forzani, 2021· OECD, 2020).</w:t>
      </w:r>
    </w:p>
    <w:p w14:paraId="37B0D7B5" w14:textId="77777777" w:rsidR="00891484" w:rsidRDefault="00243E41" w:rsidP="00891484">
      <w:pPr>
        <w:spacing w:before="240"/>
        <w:ind w:firstLine="284"/>
        <w:jc w:val="both"/>
        <w:rPr>
          <w:i/>
          <w:spacing w:val="-2"/>
        </w:rPr>
      </w:pPr>
      <w:r>
        <w:rPr>
          <w:i/>
          <w:spacing w:val="-2"/>
        </w:rPr>
        <w:t>Συλλογή</w:t>
      </w:r>
      <w:r>
        <w:rPr>
          <w:i/>
          <w:spacing w:val="-1"/>
        </w:rPr>
        <w:t xml:space="preserve"> </w:t>
      </w:r>
      <w:r>
        <w:rPr>
          <w:i/>
          <w:spacing w:val="-2"/>
        </w:rPr>
        <w:t>δεδομένων</w:t>
      </w:r>
    </w:p>
    <w:p w14:paraId="386C6C88" w14:textId="77777777" w:rsidR="00891484" w:rsidRPr="00891484" w:rsidRDefault="00891484" w:rsidP="007A39FE">
      <w:pPr>
        <w:ind w:firstLine="284"/>
        <w:jc w:val="both"/>
        <w:rPr>
          <w:color w:val="EE0000"/>
        </w:rPr>
      </w:pPr>
      <w:r w:rsidRPr="00891484">
        <w:rPr>
          <w:color w:val="EE0000"/>
        </w:rPr>
        <w:t>Τα δεδομένα της έρευνας συλλέχθηκαν ανώνυμα κατά τον Σεπτέμβριο του 2025 με τη χρήση της ψηφιακής πλατφόρμας Google Forms, μέθοδος που επιτρέπει την αποτελεσματική προσέγγιση γεωγραφικά διεσπαρμένων πληθυσμών και τη διασφάλιση της ακρίβειας στην καταγραφή των αποκρίσεων. Το δείγμα απετέλεσαν 60 μόνιμοι εκπαιδευτικοί που υπηρετούν σε σχολικές μονάδες της Δευτεροβάθμιας Εκπαίδευσης σε διάφορες περιοχές της Ελλάδας. Για την επιλογή των συμμετεχόντων εφαρμόστηκε η μέθοδος της σκοπούμενης δειγματοληψία (purposive sampling), η οοία κρίνεται ως η πλέον ενδεδειγμένη όταν το ερευνητικό ενδιαφέρον εστιάζεται σε υποομάδες πληθυσμού με συγκεκριμένα χαρακτηριστικά και εμπειρία επί του υπό μελέτη αντικειμένου (Etikan, Musa &amp; Alkassim, 2016).</w:t>
      </w:r>
    </w:p>
    <w:p w14:paraId="19D0F5C8" w14:textId="5F1EB757" w:rsidR="00891484" w:rsidRPr="00891484" w:rsidRDefault="00891484" w:rsidP="007A39FE">
      <w:pPr>
        <w:ind w:firstLine="284"/>
        <w:jc w:val="both"/>
        <w:rPr>
          <w:color w:val="EE0000"/>
        </w:rPr>
      </w:pPr>
      <w:r w:rsidRPr="00891484">
        <w:rPr>
          <w:color w:val="EE0000"/>
        </w:rPr>
        <w:t xml:space="preserve">Κατά τη διαδικασία επιλογής, ελήφθη μέριμνα ώστε το δείγμα να παρουσιάζει επαρκή διασπορά ως προς τα δημογραφικά και επαγγελματικά χαρακτηριστικά, όπως το φύλο, τα έτη </w:t>
      </w:r>
      <w:r w:rsidRPr="00891484">
        <w:rPr>
          <w:color w:val="EE0000"/>
        </w:rPr>
        <w:lastRenderedPageBreak/>
        <w:t>συνολικής προϋπηρεσίας και την ειδικότητα. Η στρατηγική αυτή διασφάλισε ότι οι βασικοί υποπληθυσμοί της εκπαιδευτικής κοινότητας αντιπροσωπεύονται κατάλληλα, επιτρέποντας τη διερεύνηση των αντιλήψεων μέσα από ένα πλουραλιστικό πρίσμα, συμβατό με τις απαιτήσεις της ποσοτικής έρευνας στην εκπαίδευση (Boone &amp; Boone, 2012). Η συλλογή των δεδομένων πραγματοποιήθηκε με πλήρη τήρηση των κανόνων ερευνητικής δεοντολογίας και του ισχύοντος κανονιστικού πλαισίου για την προστασία των προσωπικών δεδομένων (ΙΕΠ, 2024).</w:t>
      </w:r>
    </w:p>
    <w:p w14:paraId="24819DB9" w14:textId="77777777" w:rsidR="00891484" w:rsidRDefault="00891484" w:rsidP="00891484">
      <w:pPr>
        <w:pStyle w:val="a3"/>
        <w:ind w:left="0" w:right="91" w:firstLine="284"/>
        <w:jc w:val="both"/>
      </w:pPr>
    </w:p>
    <w:p w14:paraId="6B2F3040" w14:textId="0071B035" w:rsidR="009A4A71" w:rsidRDefault="004F0057" w:rsidP="00891484">
      <w:pPr>
        <w:pStyle w:val="a3"/>
        <w:ind w:left="0" w:right="91" w:firstLine="284"/>
        <w:jc w:val="both"/>
      </w:pPr>
      <w:r>
        <w:t>Δείγμα</w:t>
      </w:r>
    </w:p>
    <w:p w14:paraId="2DF6CAD6" w14:textId="675962C6" w:rsidR="004F0057" w:rsidRPr="009A4A71" w:rsidRDefault="009A4A71" w:rsidP="009A4A71">
      <w:pPr>
        <w:pStyle w:val="a3"/>
        <w:ind w:left="0" w:right="91" w:firstLine="284"/>
        <w:jc w:val="both"/>
        <w:rPr>
          <w:color w:val="EE0000"/>
        </w:rPr>
      </w:pPr>
      <w:r w:rsidRPr="009A4A71">
        <w:t xml:space="preserve">Το δείγμα της μελέτης αποτέλεσαν 60 μόνιμοι εκπαιδευτικοί Δευτεροβάθμιας Εκπαίδευσης (Γυμνάσια και Λύκεια) από διάφορες περιοχές της Ελλάδας. Για την επιλογή τους εφαρμόστηκε </w:t>
      </w:r>
      <w:r w:rsidRPr="009A4A71">
        <w:rPr>
          <w:color w:val="EE0000"/>
        </w:rPr>
        <w:t>η σκοπούμενη δειγματοληψία (purposive sampling). Η στρατηγική αυτή κρίθηκε ως η πλέον κατάλληλη, καθώς επέτρεψε την εστίαση σε μια ειδική ομάδα επαγγελματιών που διαθέτουν την απαιτούμενη εμπειρία για να αξιολογήσουν τη μετάβαση από το μονοδιάστατο εγχειρίδιο στον πλουραλισμό των πηγών (Etikan, Musa &amp; Alkassim, 2016).</w:t>
      </w:r>
    </w:p>
    <w:p w14:paraId="61C5CC72" w14:textId="77777777" w:rsidR="009A4A71" w:rsidRPr="009A4A71" w:rsidRDefault="009A4A71" w:rsidP="002A6948">
      <w:pPr>
        <w:pStyle w:val="a3"/>
        <w:ind w:left="0" w:right="91"/>
        <w:jc w:val="both"/>
      </w:pPr>
    </w:p>
    <w:p w14:paraId="2F458B4D" w14:textId="524049FB" w:rsidR="004F0057" w:rsidRDefault="004F0057" w:rsidP="003E4AB1">
      <w:pPr>
        <w:pStyle w:val="a3"/>
        <w:ind w:left="0" w:right="91" w:firstLine="284"/>
        <w:jc w:val="both"/>
      </w:pPr>
      <w:r>
        <w:t>Διαδικασία συλλογής δεδομένων</w:t>
      </w:r>
    </w:p>
    <w:p w14:paraId="6B7A0270" w14:textId="77777777" w:rsidR="0001540C" w:rsidRPr="0001540C" w:rsidRDefault="0001540C" w:rsidP="0001540C">
      <w:pPr>
        <w:ind w:firstLine="284"/>
        <w:jc w:val="both"/>
        <w:rPr>
          <w:color w:val="EE0000"/>
        </w:rPr>
      </w:pPr>
      <w:r w:rsidRPr="0001540C">
        <w:rPr>
          <w:color w:val="EE0000"/>
        </w:rPr>
        <w:t>Η συλλογή των δεδομένων πραγματοποιήθηκε ηλεκτρονικά μέσω της πλατφόρμας Google Forms, επιλογή που κρίθηκε σκόπιμη καθώς διευκόλυνε την πρόσβαση των συμμετεχόντων και εξασφάλισε την άμεση και έγκυρη καταγραφή των αποκρίσεων σε ψηφιακή μορφή. Πριν από τη συμπλήρωση του ερωτηματολογίου, οι εκπαιδευτικοί ενημερώθηκαν εγγράφως για τον σκοπό της έρευνας, τη μεθοδολογία και τους όρους συμμετοχής, η οποία υπήρξε απολύτως εθελοντική.</w:t>
      </w:r>
    </w:p>
    <w:p w14:paraId="5397865A" w14:textId="77777777" w:rsidR="0001540C" w:rsidRDefault="0001540C" w:rsidP="0001540C">
      <w:pPr>
        <w:ind w:firstLine="284"/>
        <w:jc w:val="both"/>
        <w:rPr>
          <w:color w:val="EE0000"/>
        </w:rPr>
      </w:pPr>
      <w:r w:rsidRPr="0001540C">
        <w:rPr>
          <w:color w:val="EE0000"/>
        </w:rPr>
        <w:t>Για τη διασφάλιση της αξιοπιστίας της διαδικασίας και του περιορισμού της μεροληψίας, τηρήθηκαν οι αρχές της ανωνυμίας και της εμπιστευτικότητας, διασφαλίζοντας ότι κανένα στοιχείο ταυτοποίησης δεν συνδέεται με τις απαντήσεις των συμμετεχόντων, σύμφωνα με τις διεθνείς αρχές της ερευνητικής δεοντολογίας (BERA, 2018) και τον εγχώριο κανονιστικό οδηγό για τις εκπαιδευτικές έρευνες (ΙΕΠ, 2024). Η ανάλυση των δεδομένων ακολούθησε αυστηρά πρωτόκολλα ποσοτικής επεξεργασίας, ενώ για σκοπούς διαφάνειας και επιστημονικής επαλήθευσης, τα ανωνυμοποιημένα ακατέργαστα δεδομένα παραμένουν διαθέσιμα κατόπιν εύλογου αιτήματος (Data Availability Statement), γεγονός που ενισχύει την αναπαραγωγιμότητα της μελέτης.</w:t>
      </w:r>
    </w:p>
    <w:p w14:paraId="4682E5D6" w14:textId="77777777" w:rsidR="00EC6DC9" w:rsidRDefault="00EC6DC9" w:rsidP="0001540C">
      <w:pPr>
        <w:ind w:firstLine="284"/>
        <w:jc w:val="both"/>
        <w:rPr>
          <w:color w:val="EE0000"/>
        </w:rPr>
      </w:pPr>
    </w:p>
    <w:p w14:paraId="62F06AFC" w14:textId="77777777" w:rsidR="00EC6DC9" w:rsidRDefault="00EC6DC9" w:rsidP="00EC6DC9">
      <w:pPr>
        <w:ind w:firstLine="284"/>
        <w:jc w:val="both"/>
      </w:pPr>
      <w:r>
        <w:t>Αξιοπιστία και Εγκυρότητα</w:t>
      </w:r>
    </w:p>
    <w:p w14:paraId="551E3B51" w14:textId="44C55F93" w:rsidR="00EC6DC9" w:rsidRDefault="00EC6DC9" w:rsidP="00EC6DC9">
      <w:pPr>
        <w:ind w:firstLine="284"/>
        <w:jc w:val="both"/>
        <w:rPr>
          <w:color w:val="EE0000"/>
        </w:rPr>
      </w:pPr>
      <w:r w:rsidRPr="00EC6DC9">
        <w:rPr>
          <w:color w:val="EE0000"/>
        </w:rPr>
        <w:t>Για τη διασφάλιση της εσωτερικής συνέπειας και της αξιοπιστίας των απαντήσεων στις 12 ερωτήσεις του δεύτερου μέρους, υπολογίστηκε ο δείκτης Cronbach’s Alpha για κάθε έναν από τους τρεις κεντρικούς άξονες. Οι τιμές που προέκυψαν επιβεβαιώνουν την υψηλή αξιοπιστία του εργαλείου, καθώς υπερβαίνουν το διεθνώς αποδεκτό όριο του 0,70, επιτρέποντας την ασφαλή στατιστική ανάλυση και την εξαγωγή έγκυρων συμπερασμάτων.</w:t>
      </w:r>
    </w:p>
    <w:p w14:paraId="3EE1A57A" w14:textId="77777777" w:rsidR="00EC6DC9" w:rsidRDefault="00EC6DC9" w:rsidP="00EC6DC9">
      <w:pPr>
        <w:ind w:firstLine="284"/>
        <w:jc w:val="both"/>
        <w:rPr>
          <w:color w:val="EE0000"/>
        </w:rPr>
      </w:pPr>
    </w:p>
    <w:tbl>
      <w:tblPr>
        <w:tblW w:w="0" w:type="auto"/>
        <w:jc w:val="center"/>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4771"/>
        <w:gridCol w:w="2031"/>
        <w:gridCol w:w="1849"/>
      </w:tblGrid>
      <w:tr w:rsidR="00EC6DC9" w:rsidRPr="00EC6DC9" w14:paraId="1C362448" w14:textId="77777777" w:rsidTr="00EC6DC9">
        <w:trPr>
          <w:tblHeader/>
          <w:tblCellSpacing w:w="15" w:type="dxa"/>
          <w:jc w:val="center"/>
        </w:trPr>
        <w:tc>
          <w:tcPr>
            <w:tcW w:w="0" w:type="auto"/>
            <w:vAlign w:val="center"/>
            <w:hideMark/>
          </w:tcPr>
          <w:p w14:paraId="56947121" w14:textId="77777777" w:rsidR="00EC6DC9" w:rsidRPr="00EC6DC9" w:rsidRDefault="00EC6DC9" w:rsidP="00EC6DC9">
            <w:pPr>
              <w:ind w:firstLine="284"/>
              <w:jc w:val="both"/>
              <w:rPr>
                <w:b/>
                <w:bCs/>
                <w:color w:val="EE0000"/>
              </w:rPr>
            </w:pPr>
            <w:r w:rsidRPr="00EC6DC9">
              <w:rPr>
                <w:b/>
                <w:bCs/>
                <w:color w:val="EE0000"/>
              </w:rPr>
              <w:t>Θεματικός Άξονας</w:t>
            </w:r>
          </w:p>
        </w:tc>
        <w:tc>
          <w:tcPr>
            <w:tcW w:w="0" w:type="auto"/>
            <w:vAlign w:val="center"/>
            <w:hideMark/>
          </w:tcPr>
          <w:p w14:paraId="17C4D6CF" w14:textId="77777777" w:rsidR="00EC6DC9" w:rsidRPr="00EC6DC9" w:rsidRDefault="00EC6DC9" w:rsidP="00EC6DC9">
            <w:pPr>
              <w:ind w:firstLine="284"/>
              <w:jc w:val="both"/>
              <w:rPr>
                <w:b/>
                <w:bCs/>
                <w:color w:val="EE0000"/>
              </w:rPr>
            </w:pPr>
            <w:r w:rsidRPr="00EC6DC9">
              <w:rPr>
                <w:b/>
                <w:bCs/>
                <w:color w:val="EE0000"/>
              </w:rPr>
              <w:t>Αριθμός Ερωτήσεων</w:t>
            </w:r>
          </w:p>
        </w:tc>
        <w:tc>
          <w:tcPr>
            <w:tcW w:w="0" w:type="auto"/>
            <w:vAlign w:val="center"/>
            <w:hideMark/>
          </w:tcPr>
          <w:p w14:paraId="7571722D" w14:textId="77777777" w:rsidR="00EC6DC9" w:rsidRPr="00EC6DC9" w:rsidRDefault="00EC6DC9" w:rsidP="00EC6DC9">
            <w:pPr>
              <w:ind w:firstLine="284"/>
              <w:jc w:val="both"/>
              <w:rPr>
                <w:b/>
                <w:bCs/>
                <w:color w:val="EE0000"/>
              </w:rPr>
            </w:pPr>
            <w:r w:rsidRPr="00EC6DC9">
              <w:rPr>
                <w:b/>
                <w:bCs/>
                <w:color w:val="EE0000"/>
              </w:rPr>
              <w:t>Cronbach’s Alpha</w:t>
            </w:r>
          </w:p>
        </w:tc>
      </w:tr>
      <w:tr w:rsidR="00EC6DC9" w:rsidRPr="00EC6DC9" w14:paraId="0FC4D143" w14:textId="77777777" w:rsidTr="00EC6DC9">
        <w:trPr>
          <w:tblCellSpacing w:w="15" w:type="dxa"/>
          <w:jc w:val="center"/>
        </w:trPr>
        <w:tc>
          <w:tcPr>
            <w:tcW w:w="0" w:type="auto"/>
            <w:tcBorders>
              <w:top w:val="single" w:sz="4" w:space="0" w:color="auto"/>
              <w:bottom w:val="nil"/>
            </w:tcBorders>
            <w:vAlign w:val="center"/>
            <w:hideMark/>
          </w:tcPr>
          <w:p w14:paraId="641AA26A" w14:textId="77777777" w:rsidR="00EC6DC9" w:rsidRPr="00EC6DC9" w:rsidRDefault="00EC6DC9" w:rsidP="00EC6DC9">
            <w:pPr>
              <w:ind w:firstLine="284"/>
              <w:jc w:val="both"/>
              <w:rPr>
                <w:color w:val="EE0000"/>
              </w:rPr>
            </w:pPr>
            <w:r w:rsidRPr="00EC6DC9">
              <w:rPr>
                <w:color w:val="EE0000"/>
              </w:rPr>
              <w:t>Παιδαγωγική Διάσταση (Ελευθερία &amp; Κριτική Σκέψη)</w:t>
            </w:r>
          </w:p>
        </w:tc>
        <w:tc>
          <w:tcPr>
            <w:tcW w:w="0" w:type="auto"/>
            <w:tcBorders>
              <w:top w:val="single" w:sz="4" w:space="0" w:color="auto"/>
              <w:bottom w:val="nil"/>
            </w:tcBorders>
            <w:vAlign w:val="center"/>
            <w:hideMark/>
          </w:tcPr>
          <w:p w14:paraId="6CD5A88D" w14:textId="77777777" w:rsidR="00EC6DC9" w:rsidRPr="00EC6DC9" w:rsidRDefault="00EC6DC9" w:rsidP="00EC6DC9">
            <w:pPr>
              <w:ind w:firstLine="284"/>
              <w:jc w:val="both"/>
              <w:rPr>
                <w:color w:val="EE0000"/>
              </w:rPr>
            </w:pPr>
            <w:r w:rsidRPr="00EC6DC9">
              <w:rPr>
                <w:color w:val="EE0000"/>
              </w:rPr>
              <w:t>4</w:t>
            </w:r>
          </w:p>
        </w:tc>
        <w:tc>
          <w:tcPr>
            <w:tcW w:w="0" w:type="auto"/>
            <w:tcBorders>
              <w:top w:val="single" w:sz="4" w:space="0" w:color="auto"/>
              <w:bottom w:val="nil"/>
            </w:tcBorders>
            <w:vAlign w:val="center"/>
            <w:hideMark/>
          </w:tcPr>
          <w:p w14:paraId="5BB02694" w14:textId="77777777" w:rsidR="00EC6DC9" w:rsidRPr="00EC6DC9" w:rsidRDefault="00EC6DC9" w:rsidP="00EC6DC9">
            <w:pPr>
              <w:ind w:firstLine="284"/>
              <w:jc w:val="both"/>
              <w:rPr>
                <w:color w:val="EE0000"/>
              </w:rPr>
            </w:pPr>
            <w:r w:rsidRPr="00EC6DC9">
              <w:rPr>
                <w:color w:val="EE0000"/>
              </w:rPr>
              <w:t>0,84</w:t>
            </w:r>
          </w:p>
        </w:tc>
      </w:tr>
      <w:tr w:rsidR="00EC6DC9" w:rsidRPr="00EC6DC9" w14:paraId="3A6743FD" w14:textId="77777777" w:rsidTr="00EC6DC9">
        <w:trPr>
          <w:tblCellSpacing w:w="15" w:type="dxa"/>
          <w:jc w:val="center"/>
        </w:trPr>
        <w:tc>
          <w:tcPr>
            <w:tcW w:w="0" w:type="auto"/>
            <w:vAlign w:val="center"/>
            <w:hideMark/>
          </w:tcPr>
          <w:p w14:paraId="0C9CB47C" w14:textId="77777777" w:rsidR="00EC6DC9" w:rsidRPr="00EC6DC9" w:rsidRDefault="00EC6DC9" w:rsidP="00EC6DC9">
            <w:pPr>
              <w:ind w:firstLine="284"/>
              <w:jc w:val="both"/>
              <w:rPr>
                <w:color w:val="EE0000"/>
              </w:rPr>
            </w:pPr>
            <w:r w:rsidRPr="00EC6DC9">
              <w:rPr>
                <w:color w:val="EE0000"/>
              </w:rPr>
              <w:t>Δυσκολίες Εφαρμογής (Υποδομές &amp; Φόρτος Εργασίας)</w:t>
            </w:r>
          </w:p>
        </w:tc>
        <w:tc>
          <w:tcPr>
            <w:tcW w:w="0" w:type="auto"/>
            <w:vAlign w:val="center"/>
            <w:hideMark/>
          </w:tcPr>
          <w:p w14:paraId="72C4B4E9" w14:textId="77777777" w:rsidR="00EC6DC9" w:rsidRPr="00EC6DC9" w:rsidRDefault="00EC6DC9" w:rsidP="00EC6DC9">
            <w:pPr>
              <w:ind w:firstLine="284"/>
              <w:jc w:val="both"/>
              <w:rPr>
                <w:color w:val="EE0000"/>
              </w:rPr>
            </w:pPr>
            <w:r w:rsidRPr="00EC6DC9">
              <w:rPr>
                <w:color w:val="EE0000"/>
              </w:rPr>
              <w:t>4</w:t>
            </w:r>
          </w:p>
        </w:tc>
        <w:tc>
          <w:tcPr>
            <w:tcW w:w="0" w:type="auto"/>
            <w:vAlign w:val="center"/>
            <w:hideMark/>
          </w:tcPr>
          <w:p w14:paraId="7F5D53DD" w14:textId="77777777" w:rsidR="00EC6DC9" w:rsidRPr="00EC6DC9" w:rsidRDefault="00EC6DC9" w:rsidP="00EC6DC9">
            <w:pPr>
              <w:ind w:firstLine="284"/>
              <w:jc w:val="both"/>
              <w:rPr>
                <w:color w:val="EE0000"/>
              </w:rPr>
            </w:pPr>
            <w:r w:rsidRPr="00EC6DC9">
              <w:rPr>
                <w:color w:val="EE0000"/>
              </w:rPr>
              <w:t>0,81</w:t>
            </w:r>
          </w:p>
        </w:tc>
      </w:tr>
      <w:tr w:rsidR="00EC6DC9" w:rsidRPr="00EC6DC9" w14:paraId="0074D193" w14:textId="77777777" w:rsidTr="00EC6DC9">
        <w:trPr>
          <w:tblCellSpacing w:w="15" w:type="dxa"/>
          <w:jc w:val="center"/>
        </w:trPr>
        <w:tc>
          <w:tcPr>
            <w:tcW w:w="0" w:type="auto"/>
            <w:vAlign w:val="center"/>
            <w:hideMark/>
          </w:tcPr>
          <w:p w14:paraId="26A820BF" w14:textId="77777777" w:rsidR="00EC6DC9" w:rsidRPr="00EC6DC9" w:rsidRDefault="00EC6DC9" w:rsidP="00EC6DC9">
            <w:pPr>
              <w:ind w:firstLine="284"/>
              <w:jc w:val="both"/>
              <w:rPr>
                <w:color w:val="EE0000"/>
              </w:rPr>
            </w:pPr>
            <w:r w:rsidRPr="00EC6DC9">
              <w:rPr>
                <w:color w:val="EE0000"/>
              </w:rPr>
              <w:t>Επιπτώσεις στη Διδασκαλία &amp; Επαγγελματική Αυτονομία</w:t>
            </w:r>
          </w:p>
        </w:tc>
        <w:tc>
          <w:tcPr>
            <w:tcW w:w="0" w:type="auto"/>
            <w:vAlign w:val="center"/>
            <w:hideMark/>
          </w:tcPr>
          <w:p w14:paraId="1AFCFF14" w14:textId="77777777" w:rsidR="00EC6DC9" w:rsidRPr="00EC6DC9" w:rsidRDefault="00EC6DC9" w:rsidP="00EC6DC9">
            <w:pPr>
              <w:ind w:firstLine="284"/>
              <w:jc w:val="both"/>
              <w:rPr>
                <w:color w:val="EE0000"/>
              </w:rPr>
            </w:pPr>
            <w:r w:rsidRPr="00EC6DC9">
              <w:rPr>
                <w:color w:val="EE0000"/>
              </w:rPr>
              <w:t>4</w:t>
            </w:r>
          </w:p>
        </w:tc>
        <w:tc>
          <w:tcPr>
            <w:tcW w:w="0" w:type="auto"/>
            <w:vAlign w:val="center"/>
            <w:hideMark/>
          </w:tcPr>
          <w:p w14:paraId="76D264E0" w14:textId="77777777" w:rsidR="00EC6DC9" w:rsidRPr="00EC6DC9" w:rsidRDefault="00EC6DC9" w:rsidP="00EC6DC9">
            <w:pPr>
              <w:ind w:firstLine="284"/>
              <w:jc w:val="both"/>
              <w:rPr>
                <w:color w:val="EE0000"/>
              </w:rPr>
            </w:pPr>
            <w:r w:rsidRPr="00EC6DC9">
              <w:rPr>
                <w:color w:val="EE0000"/>
              </w:rPr>
              <w:t>0,87</w:t>
            </w:r>
          </w:p>
        </w:tc>
      </w:tr>
      <w:tr w:rsidR="00EC6DC9" w:rsidRPr="00EC6DC9" w14:paraId="7C9AE526" w14:textId="77777777" w:rsidTr="00EC6DC9">
        <w:trPr>
          <w:tblCellSpacing w:w="15" w:type="dxa"/>
          <w:jc w:val="center"/>
        </w:trPr>
        <w:tc>
          <w:tcPr>
            <w:tcW w:w="0" w:type="auto"/>
            <w:vAlign w:val="center"/>
            <w:hideMark/>
          </w:tcPr>
          <w:p w14:paraId="1C98B2F8" w14:textId="77777777" w:rsidR="00EC6DC9" w:rsidRPr="00EC6DC9" w:rsidRDefault="00EC6DC9" w:rsidP="00EC6DC9">
            <w:pPr>
              <w:ind w:firstLine="284"/>
              <w:jc w:val="both"/>
              <w:rPr>
                <w:color w:val="EE0000"/>
              </w:rPr>
            </w:pPr>
            <w:r w:rsidRPr="00EC6DC9">
              <w:rPr>
                <w:b/>
                <w:bCs/>
                <w:color w:val="EE0000"/>
              </w:rPr>
              <w:t>Συνολική Αξιοπιστία Εργαλείου</w:t>
            </w:r>
          </w:p>
        </w:tc>
        <w:tc>
          <w:tcPr>
            <w:tcW w:w="0" w:type="auto"/>
            <w:vAlign w:val="center"/>
            <w:hideMark/>
          </w:tcPr>
          <w:p w14:paraId="2916A146" w14:textId="77777777" w:rsidR="00EC6DC9" w:rsidRPr="00EC6DC9" w:rsidRDefault="00EC6DC9" w:rsidP="00EC6DC9">
            <w:pPr>
              <w:ind w:firstLine="284"/>
              <w:jc w:val="both"/>
              <w:rPr>
                <w:color w:val="EE0000"/>
              </w:rPr>
            </w:pPr>
            <w:r w:rsidRPr="00EC6DC9">
              <w:rPr>
                <w:b/>
                <w:bCs/>
                <w:color w:val="EE0000"/>
              </w:rPr>
              <w:t>12</w:t>
            </w:r>
          </w:p>
        </w:tc>
        <w:tc>
          <w:tcPr>
            <w:tcW w:w="0" w:type="auto"/>
            <w:vAlign w:val="center"/>
            <w:hideMark/>
          </w:tcPr>
          <w:p w14:paraId="6435BCDA" w14:textId="77777777" w:rsidR="00EC6DC9" w:rsidRPr="00EC6DC9" w:rsidRDefault="00EC6DC9" w:rsidP="00EC6DC9">
            <w:pPr>
              <w:ind w:firstLine="284"/>
              <w:jc w:val="both"/>
              <w:rPr>
                <w:color w:val="EE0000"/>
              </w:rPr>
            </w:pPr>
            <w:r w:rsidRPr="00EC6DC9">
              <w:rPr>
                <w:b/>
                <w:bCs/>
                <w:color w:val="EE0000"/>
              </w:rPr>
              <w:t>0,85</w:t>
            </w:r>
          </w:p>
        </w:tc>
      </w:tr>
    </w:tbl>
    <w:p w14:paraId="439841B7" w14:textId="6887E918" w:rsidR="00EC6DC9" w:rsidRPr="00EC6DC9" w:rsidRDefault="00EC6DC9" w:rsidP="00EC6DC9">
      <w:pPr>
        <w:spacing w:before="240"/>
        <w:ind w:firstLine="284"/>
        <w:jc w:val="center"/>
        <w:rPr>
          <w:b/>
          <w:color w:val="EE0000"/>
        </w:rPr>
      </w:pPr>
      <w:r w:rsidRPr="00EC6DC9">
        <w:rPr>
          <w:b/>
          <w:color w:val="EE0000"/>
        </w:rPr>
        <w:t>Πίνακας</w:t>
      </w:r>
      <w:r w:rsidRPr="00EC6DC9">
        <w:rPr>
          <w:b/>
          <w:color w:val="EE0000"/>
          <w:spacing w:val="-4"/>
        </w:rPr>
        <w:t xml:space="preserve"> </w:t>
      </w:r>
      <w:r w:rsidRPr="00EC6DC9">
        <w:rPr>
          <w:b/>
          <w:color w:val="EE0000"/>
        </w:rPr>
        <w:t>1.</w:t>
      </w:r>
      <w:r w:rsidRPr="00EC6DC9">
        <w:rPr>
          <w:b/>
          <w:color w:val="EE0000"/>
          <w:spacing w:val="-3"/>
        </w:rPr>
        <w:t xml:space="preserve"> </w:t>
      </w:r>
      <w:r w:rsidRPr="00EC6DC9">
        <w:rPr>
          <w:b/>
          <w:color w:val="EE0000"/>
        </w:rPr>
        <w:t>Δείκτες Αξιοπιστίας (Cronbach’s Alpha) ανά Θεματικό Άξονα (N=60)</w:t>
      </w:r>
    </w:p>
    <w:p w14:paraId="5484FCC2" w14:textId="77777777" w:rsidR="00EC6DC9" w:rsidRPr="00EC6DC9" w:rsidRDefault="00EC6DC9" w:rsidP="00EC6DC9">
      <w:pPr>
        <w:ind w:firstLine="284"/>
        <w:jc w:val="center"/>
        <w:rPr>
          <w:b/>
          <w:color w:val="EE0000"/>
        </w:rPr>
      </w:pPr>
    </w:p>
    <w:p w14:paraId="2F4D882F" w14:textId="42BC79C0" w:rsidR="004F0057" w:rsidRDefault="004F0057" w:rsidP="0001540C">
      <w:pPr>
        <w:ind w:firstLine="284"/>
      </w:pPr>
      <w:r>
        <w:t>Ηθικές αρχές</w:t>
      </w:r>
    </w:p>
    <w:p w14:paraId="30362A7F" w14:textId="77777777" w:rsidR="00E11148" w:rsidRPr="00E11148" w:rsidRDefault="00E11148" w:rsidP="00E11148">
      <w:pPr>
        <w:ind w:firstLine="284"/>
        <w:jc w:val="both"/>
        <w:rPr>
          <w:color w:val="EE0000"/>
        </w:rPr>
      </w:pPr>
      <w:r w:rsidRPr="00E11148">
        <w:rPr>
          <w:color w:val="EE0000"/>
        </w:rPr>
        <w:t xml:space="preserve">Η έρευνα διεξήχθη με πλήρη σεβασμό στις αρχές της επιστημονικής δεοντολογίας. Οι </w:t>
      </w:r>
      <w:r w:rsidRPr="00E11148">
        <w:rPr>
          <w:color w:val="EE0000"/>
        </w:rPr>
        <w:lastRenderedPageBreak/>
        <w:t>συμμετέχοντες ενημερώθηκαν γραπτώς, μέσω του εισαγωγικού σημειώματος του ερωτηματολογίου, για τον σκοπό της μελέτης, τη χρήση των δεδομένων αποκλειστικά για επιστημονικούς σκοπούς, καθώς και για το δικαίωμα εθελοντικής συμμετοχής και αποχώρησης σε οποιοδήποτε στάδιο. Η ανωνυμία και η εμπιστευτικότητα των δεδομένων διασφαλίστηκαν πλήρως, καθώς δεν συλλέχθηκαν προσωπικά στοιχεία ταυτοποίησης.</w:t>
      </w:r>
    </w:p>
    <w:p w14:paraId="01F534CB" w14:textId="3E828507" w:rsidR="00E11148" w:rsidRDefault="00E11148" w:rsidP="00E11148">
      <w:pPr>
        <w:ind w:firstLine="284"/>
        <w:jc w:val="both"/>
        <w:rPr>
          <w:color w:val="EE0000"/>
        </w:rPr>
      </w:pPr>
      <w:r w:rsidRPr="00E11148">
        <w:rPr>
          <w:color w:val="EE0000"/>
        </w:rPr>
        <w:t>Σύμφωνα με τον Οδηγό Υλοποίησης Ερευνών του Ινστιτούτου Εκπαιδευτικής Πολιτικής (ΙΕΠ, 2024), η παρούσα μελέτη δεν απαιτούσε ειδική έγκριση από Επιτροπή Ηθικής και Δεοντολογίας της Έρευνας (Ε.Η.Δ.Ε.), καθώς το δείγμα αποτελούνταν αποκλειστικά από ενήλικες (εν ενεργεία εκπαιδευτικούς) και η ερευνητική διαδικασία δεν περιλάμβανε ευαίσθητα προσωπικά δεδομένα, ευάλωτες κοινωνικές ομάδες ή παρέμβαση σε ανήλικους μαθητές. Η τήρηση των δεοντολογικών κανόνων ευθυγραμμίζεται με τις διεθνείς κατευθυντήριες γραμμές για την εκπαιδευτική έρευνα (BERA, 2018).</w:t>
      </w:r>
    </w:p>
    <w:p w14:paraId="41D439E4" w14:textId="77777777" w:rsidR="001A5606" w:rsidRDefault="001A5606" w:rsidP="00E11148">
      <w:pPr>
        <w:ind w:firstLine="284"/>
        <w:jc w:val="both"/>
        <w:rPr>
          <w:color w:val="EE0000"/>
        </w:rPr>
      </w:pPr>
    </w:p>
    <w:p w14:paraId="6643ED8B" w14:textId="69EE9846" w:rsidR="008201E5" w:rsidRDefault="008201E5" w:rsidP="00E11148">
      <w:pPr>
        <w:ind w:firstLine="284"/>
        <w:jc w:val="both"/>
        <w:rPr>
          <w:color w:val="EE0000"/>
        </w:rPr>
      </w:pPr>
      <w:r w:rsidRPr="008201E5">
        <w:rPr>
          <w:color w:val="EE0000"/>
        </w:rPr>
        <w:t xml:space="preserve">Δήλωση Διαθεσιμότητας Δεδομένων </w:t>
      </w:r>
    </w:p>
    <w:p w14:paraId="55CD374A" w14:textId="23D61081" w:rsidR="008201E5" w:rsidRDefault="008201E5" w:rsidP="00E11148">
      <w:pPr>
        <w:ind w:firstLine="284"/>
        <w:jc w:val="both"/>
        <w:rPr>
          <w:color w:val="EE0000"/>
        </w:rPr>
      </w:pPr>
      <w:r w:rsidRPr="008201E5">
        <w:rPr>
          <w:color w:val="EE0000"/>
        </w:rPr>
        <w:t>Τα ανωνυμοποιημένα ακατέργαστα δεδομένα (raw data) που υποστηρίζουν τα συμπεράσματα αυτής της έρευνας είναι διαθέσιμα από τον συγγραφέα κατόπιν εύλογου αιτήματος, προκειμένου να διασφαλιστεί η προστασία των προσωπικών δεδομένων των συμμετεχόντων και η τήρηση των κανόνων δεοντολογίας.</w:t>
      </w:r>
    </w:p>
    <w:p w14:paraId="2980FCC2" w14:textId="77777777" w:rsidR="008201E5" w:rsidRPr="00E11148" w:rsidRDefault="008201E5" w:rsidP="00E11148">
      <w:pPr>
        <w:ind w:firstLine="284"/>
        <w:jc w:val="both"/>
        <w:rPr>
          <w:color w:val="EE0000"/>
        </w:rPr>
      </w:pPr>
    </w:p>
    <w:p w14:paraId="1816F941" w14:textId="0380DEEF" w:rsidR="00D5658E" w:rsidRPr="00E60F37" w:rsidRDefault="00C6446D" w:rsidP="00E11148">
      <w:pPr>
        <w:ind w:firstLine="284"/>
        <w:rPr>
          <w:b/>
          <w:spacing w:val="-2"/>
        </w:rPr>
      </w:pPr>
      <w:r w:rsidRPr="00E60F37">
        <w:rPr>
          <w:b/>
          <w:spacing w:val="-2"/>
        </w:rPr>
        <w:t>Αποτελέσματα</w:t>
      </w:r>
    </w:p>
    <w:p w14:paraId="77752B71" w14:textId="45240D55" w:rsidR="00AD78CE" w:rsidRDefault="00D5658E" w:rsidP="003D75FE">
      <w:pPr>
        <w:ind w:firstLine="284"/>
        <w:jc w:val="both"/>
        <w:rPr>
          <w:bCs/>
        </w:rPr>
      </w:pPr>
      <w:r w:rsidRPr="00D5658E">
        <w:rPr>
          <w:bCs/>
        </w:rPr>
        <w:t>Τα αποτελέσματα της έρευνας βρίσκονται στο σύνδεσμο του google drive</w:t>
      </w:r>
      <w:r w:rsidRPr="00D5658E">
        <w:t xml:space="preserve"> (</w:t>
      </w:r>
      <w:hyperlink r:id="rId10" w:anchor="responses" w:history="1">
        <w:r w:rsidR="003E4AB1" w:rsidRPr="007132CE">
          <w:rPr>
            <w:rStyle w:val="-"/>
            <w:bCs/>
          </w:rPr>
          <w:t>https://docs.google.com/forms/d/1Lt9CLWQYhZDZ8DeC7YlueItmaetRqIwnUJxz8fZ3Vq8/edit?hl=EL#responses</w:t>
        </w:r>
      </w:hyperlink>
      <w:r w:rsidRPr="00D5658E">
        <w:rPr>
          <w:bCs/>
        </w:rPr>
        <w:t>).</w:t>
      </w:r>
    </w:p>
    <w:p w14:paraId="7AB6DE10" w14:textId="77777777" w:rsidR="003E4AB1" w:rsidRPr="00D5658E" w:rsidRDefault="003E4AB1" w:rsidP="003E4AB1">
      <w:pPr>
        <w:ind w:firstLine="284"/>
        <w:jc w:val="both"/>
        <w:rPr>
          <w:bCs/>
          <w:spacing w:val="-2"/>
        </w:rPr>
      </w:pPr>
    </w:p>
    <w:p w14:paraId="2FD62DAA" w14:textId="77777777" w:rsidR="00AD78CE" w:rsidRDefault="00000000" w:rsidP="00AD78CE">
      <w:pPr>
        <w:ind w:firstLine="284"/>
        <w:jc w:val="both"/>
        <w:rPr>
          <w:i/>
        </w:rPr>
      </w:pPr>
      <w:r>
        <w:rPr>
          <w:i/>
          <w:spacing w:val="-2"/>
        </w:rPr>
        <w:t>Δημογραφικά</w:t>
      </w:r>
      <w:r>
        <w:rPr>
          <w:i/>
          <w:spacing w:val="3"/>
        </w:rPr>
        <w:t xml:space="preserve"> </w:t>
      </w:r>
      <w:r>
        <w:rPr>
          <w:i/>
          <w:spacing w:val="-2"/>
        </w:rPr>
        <w:t>χαρακτηριστικά</w:t>
      </w:r>
      <w:r>
        <w:rPr>
          <w:i/>
          <w:spacing w:val="4"/>
        </w:rPr>
        <w:t xml:space="preserve"> </w:t>
      </w:r>
      <w:r>
        <w:rPr>
          <w:i/>
          <w:spacing w:val="-2"/>
        </w:rPr>
        <w:t>του</w:t>
      </w:r>
      <w:r>
        <w:rPr>
          <w:i/>
          <w:spacing w:val="4"/>
        </w:rPr>
        <w:t xml:space="preserve"> </w:t>
      </w:r>
      <w:r>
        <w:rPr>
          <w:i/>
          <w:spacing w:val="-2"/>
        </w:rPr>
        <w:t>δείγματος</w:t>
      </w:r>
      <w:r w:rsidR="00D5658E">
        <w:rPr>
          <w:i/>
          <w:spacing w:val="-2"/>
        </w:rPr>
        <w:t xml:space="preserve"> </w:t>
      </w:r>
      <w:r w:rsidR="00D5658E" w:rsidRPr="00D5658E">
        <w:rPr>
          <w:i/>
          <w:spacing w:val="-2"/>
        </w:rPr>
        <w:t xml:space="preserve">(ερωτήσεις </w:t>
      </w:r>
      <w:r w:rsidR="00D5658E">
        <w:rPr>
          <w:i/>
          <w:spacing w:val="-2"/>
        </w:rPr>
        <w:t>1</w:t>
      </w:r>
      <w:r w:rsidR="00D5658E" w:rsidRPr="00D5658E">
        <w:rPr>
          <w:i/>
          <w:spacing w:val="-2"/>
        </w:rPr>
        <w:t>,</w:t>
      </w:r>
      <w:r w:rsidR="00D5658E">
        <w:rPr>
          <w:i/>
          <w:spacing w:val="-2"/>
        </w:rPr>
        <w:t>2</w:t>
      </w:r>
      <w:r w:rsidR="00D5658E" w:rsidRPr="00D5658E">
        <w:rPr>
          <w:i/>
          <w:spacing w:val="-2"/>
        </w:rPr>
        <w:t>,</w:t>
      </w:r>
      <w:r w:rsidR="00D5658E">
        <w:rPr>
          <w:i/>
          <w:spacing w:val="-2"/>
        </w:rPr>
        <w:t>3,4</w:t>
      </w:r>
      <w:r w:rsidR="00D5658E" w:rsidRPr="00D5658E">
        <w:rPr>
          <w:i/>
          <w:spacing w:val="-2"/>
        </w:rPr>
        <w:t xml:space="preserve"> και </w:t>
      </w:r>
      <w:r w:rsidR="00D5658E">
        <w:rPr>
          <w:i/>
          <w:spacing w:val="-2"/>
        </w:rPr>
        <w:t>5</w:t>
      </w:r>
      <w:r w:rsidR="00D5658E" w:rsidRPr="00D5658E">
        <w:rPr>
          <w:i/>
          <w:spacing w:val="-2"/>
        </w:rPr>
        <w:t>)</w:t>
      </w:r>
    </w:p>
    <w:p w14:paraId="7F786B1F" w14:textId="205D4D20" w:rsidR="00990992" w:rsidRPr="00AD5BF6" w:rsidRDefault="0066335B" w:rsidP="002572B3">
      <w:pPr>
        <w:ind w:firstLine="284"/>
        <w:jc w:val="both"/>
        <w:rPr>
          <w:color w:val="EE0000"/>
        </w:rPr>
      </w:pPr>
      <w:r w:rsidRPr="0066335B">
        <w:rPr>
          <w:color w:val="EE0000"/>
        </w:rPr>
        <w:t>Το δείγμα της μελέτης (N=60) αποτελείται από εκπαιδευτικούς με σημαντική διδακτική εμπειρία, καθώς η πλειονότητα διαθέτει 11-20 έτη προϋπηρεσίας ή περισσότερα από 20 έτη. Η ηλικιακή κατανομή ακολουθεί ανάλογη τάση, με τις ομάδες 41-50 και 51-60 ετών να κυριαρχούν. Το γεγονός αυτό υποδηλώνει ότι οι συμμετέχοντες αποτελούν ένα σώμα έμπειρων επαγγελματιών που έχουν βιώσει διαφορετικές εκπαιδευτικές πολιτικές. Ως προς την ειδικότητα, εκπροσωπούνται όλες οι κατηγορίες της Δευτεροβάθμιας Εκπαίδευσης (θεωρητικές, θετικές, ξένες γλώσσες και τεχνικές ειδικότητες), με την πλειονότητα των υπηρετούντων να προέρχεται από τη βαθμίδα του Λυκείου.</w:t>
      </w:r>
    </w:p>
    <w:p w14:paraId="2525EDBE" w14:textId="77777777" w:rsidR="00AD78CE" w:rsidRDefault="00000000" w:rsidP="00AD78CE">
      <w:pPr>
        <w:ind w:firstLine="284"/>
        <w:jc w:val="both"/>
        <w:rPr>
          <w:i/>
        </w:rPr>
      </w:pPr>
      <w:r>
        <w:rPr>
          <w:i/>
        </w:rPr>
        <w:t>Ανάλυση</w:t>
      </w:r>
      <w:r>
        <w:rPr>
          <w:i/>
          <w:spacing w:val="-12"/>
        </w:rPr>
        <w:t xml:space="preserve"> </w:t>
      </w:r>
      <w:r>
        <w:rPr>
          <w:i/>
          <w:spacing w:val="-2"/>
        </w:rPr>
        <w:t>δεδομένων</w:t>
      </w:r>
      <w:r w:rsidR="00E33952">
        <w:rPr>
          <w:i/>
        </w:rPr>
        <w:t xml:space="preserve">                                                                                             </w:t>
      </w:r>
    </w:p>
    <w:p w14:paraId="4E4FE678" w14:textId="56A57929" w:rsidR="00742BB6" w:rsidRDefault="00742BB6" w:rsidP="00AD78CE">
      <w:pPr>
        <w:ind w:firstLine="284"/>
        <w:jc w:val="both"/>
        <w:rPr>
          <w:i/>
        </w:rPr>
      </w:pPr>
      <w:r>
        <w:rPr>
          <w:i/>
        </w:rPr>
        <w:t>Αντιλήψεις για το Πολλαπλό Βιβλίο (ερωτήσεις</w:t>
      </w:r>
      <w:r>
        <w:rPr>
          <w:i/>
          <w:spacing w:val="-10"/>
        </w:rPr>
        <w:t xml:space="preserve"> </w:t>
      </w:r>
      <w:r w:rsidR="001B13DC">
        <w:rPr>
          <w:i/>
        </w:rPr>
        <w:t>6</w:t>
      </w:r>
      <w:r>
        <w:rPr>
          <w:i/>
        </w:rPr>
        <w:t>,</w:t>
      </w:r>
      <w:r w:rsidR="001B13DC">
        <w:rPr>
          <w:i/>
        </w:rPr>
        <w:t>7</w:t>
      </w:r>
      <w:r>
        <w:rPr>
          <w:i/>
        </w:rPr>
        <w:t>,8</w:t>
      </w:r>
      <w:r>
        <w:rPr>
          <w:i/>
          <w:spacing w:val="-9"/>
        </w:rPr>
        <w:t xml:space="preserve"> </w:t>
      </w:r>
      <w:r>
        <w:rPr>
          <w:i/>
        </w:rPr>
        <w:t>και</w:t>
      </w:r>
      <w:r>
        <w:rPr>
          <w:i/>
          <w:spacing w:val="-10"/>
        </w:rPr>
        <w:t xml:space="preserve"> </w:t>
      </w:r>
      <w:r>
        <w:rPr>
          <w:i/>
          <w:spacing w:val="-5"/>
        </w:rPr>
        <w:t>9)</w:t>
      </w:r>
    </w:p>
    <w:p w14:paraId="3D7D13AD" w14:textId="5C8FCD18" w:rsidR="00675457" w:rsidRDefault="00C97A27" w:rsidP="00193859">
      <w:pPr>
        <w:pStyle w:val="a3"/>
        <w:spacing w:before="1"/>
        <w:ind w:left="0"/>
        <w:rPr>
          <w:color w:val="EE0000"/>
        </w:rPr>
      </w:pPr>
      <w:r w:rsidRPr="00C97A27">
        <w:rPr>
          <w:color w:val="EE0000"/>
        </w:rPr>
        <w:t xml:space="preserve">Οι αντιλήψεις των εκπαιδευτικών για την παιδαγωγική αξία του θεσμού καταγράφονται ως ιδιαίτερα θετικές. Στον Πίνακα </w:t>
      </w:r>
      <w:r w:rsidR="00EC6DC9">
        <w:rPr>
          <w:color w:val="EE0000"/>
        </w:rPr>
        <w:t>2</w:t>
      </w:r>
      <w:r w:rsidRPr="00C97A27">
        <w:rPr>
          <w:color w:val="EE0000"/>
        </w:rPr>
        <w:t xml:space="preserve"> παρουσιάζονται τα περιγραφικά στατιστικά στοιχεία για τις μεταβλητές που αφορούν την παιδαγωγική διάσταση.</w:t>
      </w:r>
    </w:p>
    <w:p w14:paraId="63832D94" w14:textId="77777777" w:rsidR="00C97A27" w:rsidRDefault="00C97A27" w:rsidP="00193859">
      <w:pPr>
        <w:pStyle w:val="a3"/>
        <w:spacing w:before="1"/>
        <w:ind w:left="0"/>
        <w:rPr>
          <w:color w:val="EE0000"/>
        </w:rPr>
      </w:pPr>
    </w:p>
    <w:tbl>
      <w:tblPr>
        <w:tblW w:w="0" w:type="auto"/>
        <w:jc w:val="center"/>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3787"/>
        <w:gridCol w:w="757"/>
        <w:gridCol w:w="1088"/>
        <w:gridCol w:w="2456"/>
      </w:tblGrid>
      <w:tr w:rsidR="00C97A27" w:rsidRPr="00C97A27" w14:paraId="73A2DCA0" w14:textId="77777777" w:rsidTr="00E33F5F">
        <w:trPr>
          <w:tblHeader/>
          <w:tblCellSpacing w:w="15" w:type="dxa"/>
          <w:jc w:val="center"/>
        </w:trPr>
        <w:tc>
          <w:tcPr>
            <w:tcW w:w="0" w:type="auto"/>
            <w:vAlign w:val="center"/>
            <w:hideMark/>
          </w:tcPr>
          <w:p w14:paraId="54B64E8C" w14:textId="77777777" w:rsidR="00C97A27" w:rsidRPr="00C97A27" w:rsidRDefault="00C97A27" w:rsidP="00C97A27">
            <w:pPr>
              <w:pStyle w:val="a3"/>
              <w:spacing w:before="1"/>
              <w:rPr>
                <w:b/>
                <w:bCs/>
                <w:color w:val="EE0000"/>
              </w:rPr>
            </w:pPr>
            <w:r w:rsidRPr="00C97A27">
              <w:rPr>
                <w:b/>
                <w:bCs/>
                <w:color w:val="EE0000"/>
              </w:rPr>
              <w:t>Μεταβλητή</w:t>
            </w:r>
          </w:p>
        </w:tc>
        <w:tc>
          <w:tcPr>
            <w:tcW w:w="0" w:type="auto"/>
            <w:vAlign w:val="center"/>
            <w:hideMark/>
          </w:tcPr>
          <w:p w14:paraId="70F02D52" w14:textId="77777777" w:rsidR="00C97A27" w:rsidRPr="00C97A27" w:rsidRDefault="00C97A27" w:rsidP="00C97A27">
            <w:pPr>
              <w:pStyle w:val="a3"/>
              <w:spacing w:before="1"/>
              <w:rPr>
                <w:b/>
                <w:bCs/>
                <w:color w:val="EE0000"/>
              </w:rPr>
            </w:pPr>
            <w:r w:rsidRPr="00C97A27">
              <w:rPr>
                <w:b/>
                <w:bCs/>
                <w:color w:val="EE0000"/>
              </w:rPr>
              <w:t>Μ.Ο.</w:t>
            </w:r>
          </w:p>
        </w:tc>
        <w:tc>
          <w:tcPr>
            <w:tcW w:w="0" w:type="auto"/>
            <w:vAlign w:val="center"/>
            <w:hideMark/>
          </w:tcPr>
          <w:p w14:paraId="4907992D" w14:textId="77777777" w:rsidR="00C97A27" w:rsidRPr="00C97A27" w:rsidRDefault="00C97A27" w:rsidP="00C97A27">
            <w:pPr>
              <w:pStyle w:val="a3"/>
              <w:spacing w:before="1"/>
              <w:rPr>
                <w:b/>
                <w:bCs/>
                <w:color w:val="EE0000"/>
              </w:rPr>
            </w:pPr>
            <w:r w:rsidRPr="00C97A27">
              <w:rPr>
                <w:b/>
                <w:bCs/>
                <w:color w:val="EE0000"/>
              </w:rPr>
              <w:t>Τ.Α. (SD)</w:t>
            </w:r>
          </w:p>
        </w:tc>
        <w:tc>
          <w:tcPr>
            <w:tcW w:w="0" w:type="auto"/>
            <w:vAlign w:val="center"/>
            <w:hideMark/>
          </w:tcPr>
          <w:p w14:paraId="438C2CE3" w14:textId="77777777" w:rsidR="00C97A27" w:rsidRPr="00C97A27" w:rsidRDefault="00C97A27" w:rsidP="00C97A27">
            <w:pPr>
              <w:pStyle w:val="a3"/>
              <w:spacing w:before="1"/>
              <w:rPr>
                <w:b/>
                <w:bCs/>
                <w:color w:val="EE0000"/>
              </w:rPr>
            </w:pPr>
            <w:r w:rsidRPr="00C97A27">
              <w:rPr>
                <w:b/>
                <w:bCs/>
                <w:color w:val="EE0000"/>
              </w:rPr>
              <w:t>95% CI [Lower – Upper]</w:t>
            </w:r>
          </w:p>
        </w:tc>
      </w:tr>
      <w:tr w:rsidR="00C97A27" w:rsidRPr="00C97A27" w14:paraId="7A23C184" w14:textId="77777777" w:rsidTr="00E33F5F">
        <w:trPr>
          <w:tblCellSpacing w:w="15" w:type="dxa"/>
          <w:jc w:val="center"/>
        </w:trPr>
        <w:tc>
          <w:tcPr>
            <w:tcW w:w="0" w:type="auto"/>
            <w:tcBorders>
              <w:top w:val="single" w:sz="4" w:space="0" w:color="auto"/>
              <w:bottom w:val="nil"/>
            </w:tcBorders>
            <w:vAlign w:val="center"/>
            <w:hideMark/>
          </w:tcPr>
          <w:p w14:paraId="49F6D000" w14:textId="77777777" w:rsidR="00C97A27" w:rsidRPr="00C97A27" w:rsidRDefault="00C97A27" w:rsidP="00C97A27">
            <w:pPr>
              <w:pStyle w:val="a3"/>
              <w:spacing w:before="1"/>
              <w:rPr>
                <w:color w:val="EE0000"/>
              </w:rPr>
            </w:pPr>
            <w:r w:rsidRPr="00C97A27">
              <w:rPr>
                <w:color w:val="EE0000"/>
              </w:rPr>
              <w:t>Προαγωγή παιδαγωγικής ελευθερίας</w:t>
            </w:r>
          </w:p>
        </w:tc>
        <w:tc>
          <w:tcPr>
            <w:tcW w:w="0" w:type="auto"/>
            <w:tcBorders>
              <w:top w:val="single" w:sz="4" w:space="0" w:color="auto"/>
              <w:bottom w:val="nil"/>
            </w:tcBorders>
            <w:vAlign w:val="center"/>
            <w:hideMark/>
          </w:tcPr>
          <w:p w14:paraId="1C965CCE" w14:textId="77777777" w:rsidR="00C97A27" w:rsidRPr="00C97A27" w:rsidRDefault="00C97A27" w:rsidP="00C97A27">
            <w:pPr>
              <w:pStyle w:val="a3"/>
              <w:spacing w:before="1"/>
              <w:rPr>
                <w:color w:val="EE0000"/>
              </w:rPr>
            </w:pPr>
            <w:r w:rsidRPr="00C97A27">
              <w:rPr>
                <w:color w:val="EE0000"/>
              </w:rPr>
              <w:t>3,97</w:t>
            </w:r>
          </w:p>
        </w:tc>
        <w:tc>
          <w:tcPr>
            <w:tcW w:w="0" w:type="auto"/>
            <w:tcBorders>
              <w:top w:val="single" w:sz="4" w:space="0" w:color="auto"/>
              <w:bottom w:val="nil"/>
            </w:tcBorders>
            <w:vAlign w:val="center"/>
            <w:hideMark/>
          </w:tcPr>
          <w:p w14:paraId="4F730548" w14:textId="77777777" w:rsidR="00C97A27" w:rsidRPr="00C97A27" w:rsidRDefault="00C97A27" w:rsidP="00C97A27">
            <w:pPr>
              <w:pStyle w:val="a3"/>
              <w:spacing w:before="1"/>
              <w:rPr>
                <w:color w:val="EE0000"/>
              </w:rPr>
            </w:pPr>
            <w:r w:rsidRPr="00C97A27">
              <w:rPr>
                <w:color w:val="EE0000"/>
              </w:rPr>
              <w:t>0,82</w:t>
            </w:r>
          </w:p>
        </w:tc>
        <w:tc>
          <w:tcPr>
            <w:tcW w:w="0" w:type="auto"/>
            <w:tcBorders>
              <w:top w:val="single" w:sz="4" w:space="0" w:color="auto"/>
              <w:bottom w:val="nil"/>
            </w:tcBorders>
            <w:vAlign w:val="center"/>
            <w:hideMark/>
          </w:tcPr>
          <w:p w14:paraId="0A9E68B6" w14:textId="77777777" w:rsidR="00C97A27" w:rsidRPr="00C97A27" w:rsidRDefault="00C97A27" w:rsidP="00C97A27">
            <w:pPr>
              <w:pStyle w:val="a3"/>
              <w:spacing w:before="1"/>
              <w:rPr>
                <w:color w:val="EE0000"/>
              </w:rPr>
            </w:pPr>
            <w:r w:rsidRPr="00C97A27">
              <w:rPr>
                <w:color w:val="EE0000"/>
              </w:rPr>
              <w:t>[3,76 – 4,18]</w:t>
            </w:r>
          </w:p>
        </w:tc>
      </w:tr>
      <w:tr w:rsidR="00C97A27" w:rsidRPr="00C97A27" w14:paraId="1AD7DC06" w14:textId="77777777" w:rsidTr="00E33F5F">
        <w:trPr>
          <w:tblCellSpacing w:w="15" w:type="dxa"/>
          <w:jc w:val="center"/>
        </w:trPr>
        <w:tc>
          <w:tcPr>
            <w:tcW w:w="0" w:type="auto"/>
            <w:vAlign w:val="center"/>
            <w:hideMark/>
          </w:tcPr>
          <w:p w14:paraId="48C3D605" w14:textId="77777777" w:rsidR="00C97A27" w:rsidRPr="00C97A27" w:rsidRDefault="00C97A27" w:rsidP="00C97A27">
            <w:pPr>
              <w:pStyle w:val="a3"/>
              <w:spacing w:before="1"/>
              <w:rPr>
                <w:color w:val="EE0000"/>
              </w:rPr>
            </w:pPr>
            <w:r w:rsidRPr="00C97A27">
              <w:rPr>
                <w:color w:val="EE0000"/>
              </w:rPr>
              <w:t>Πλουραλισμός στη διδασκαλία</w:t>
            </w:r>
          </w:p>
        </w:tc>
        <w:tc>
          <w:tcPr>
            <w:tcW w:w="0" w:type="auto"/>
            <w:vAlign w:val="center"/>
            <w:hideMark/>
          </w:tcPr>
          <w:p w14:paraId="1BF65B68" w14:textId="77777777" w:rsidR="00C97A27" w:rsidRPr="00C97A27" w:rsidRDefault="00C97A27" w:rsidP="00C97A27">
            <w:pPr>
              <w:pStyle w:val="a3"/>
              <w:spacing w:before="1"/>
              <w:rPr>
                <w:color w:val="EE0000"/>
              </w:rPr>
            </w:pPr>
            <w:r w:rsidRPr="00C97A27">
              <w:rPr>
                <w:color w:val="EE0000"/>
              </w:rPr>
              <w:t>3,88</w:t>
            </w:r>
          </w:p>
        </w:tc>
        <w:tc>
          <w:tcPr>
            <w:tcW w:w="0" w:type="auto"/>
            <w:vAlign w:val="center"/>
            <w:hideMark/>
          </w:tcPr>
          <w:p w14:paraId="551D533C" w14:textId="77777777" w:rsidR="00C97A27" w:rsidRPr="00C97A27" w:rsidRDefault="00C97A27" w:rsidP="00C97A27">
            <w:pPr>
              <w:pStyle w:val="a3"/>
              <w:spacing w:before="1"/>
              <w:rPr>
                <w:color w:val="EE0000"/>
              </w:rPr>
            </w:pPr>
            <w:r w:rsidRPr="00C97A27">
              <w:rPr>
                <w:color w:val="EE0000"/>
              </w:rPr>
              <w:t>0,85</w:t>
            </w:r>
          </w:p>
        </w:tc>
        <w:tc>
          <w:tcPr>
            <w:tcW w:w="0" w:type="auto"/>
            <w:vAlign w:val="center"/>
            <w:hideMark/>
          </w:tcPr>
          <w:p w14:paraId="610F1650" w14:textId="77777777" w:rsidR="00C97A27" w:rsidRPr="00C97A27" w:rsidRDefault="00C97A27" w:rsidP="00C97A27">
            <w:pPr>
              <w:pStyle w:val="a3"/>
              <w:spacing w:before="1"/>
              <w:rPr>
                <w:color w:val="EE0000"/>
              </w:rPr>
            </w:pPr>
            <w:r w:rsidRPr="00C97A27">
              <w:rPr>
                <w:color w:val="EE0000"/>
              </w:rPr>
              <w:t>[3,66 – 4,10]</w:t>
            </w:r>
          </w:p>
        </w:tc>
      </w:tr>
      <w:tr w:rsidR="00C97A27" w:rsidRPr="00C97A27" w14:paraId="717A86F9" w14:textId="77777777" w:rsidTr="00E33F5F">
        <w:trPr>
          <w:tblCellSpacing w:w="15" w:type="dxa"/>
          <w:jc w:val="center"/>
        </w:trPr>
        <w:tc>
          <w:tcPr>
            <w:tcW w:w="0" w:type="auto"/>
            <w:vAlign w:val="center"/>
            <w:hideMark/>
          </w:tcPr>
          <w:p w14:paraId="6620874D" w14:textId="77777777" w:rsidR="00C97A27" w:rsidRPr="00C97A27" w:rsidRDefault="00C97A27" w:rsidP="00C97A27">
            <w:pPr>
              <w:pStyle w:val="a3"/>
              <w:spacing w:before="1"/>
              <w:rPr>
                <w:color w:val="EE0000"/>
              </w:rPr>
            </w:pPr>
            <w:r w:rsidRPr="00C97A27">
              <w:rPr>
                <w:color w:val="EE0000"/>
              </w:rPr>
              <w:t>Κίνητρο για δημιουργικές πρακτικές</w:t>
            </w:r>
          </w:p>
        </w:tc>
        <w:tc>
          <w:tcPr>
            <w:tcW w:w="0" w:type="auto"/>
            <w:vAlign w:val="center"/>
            <w:hideMark/>
          </w:tcPr>
          <w:p w14:paraId="08F38CDD" w14:textId="77777777" w:rsidR="00C97A27" w:rsidRPr="00C97A27" w:rsidRDefault="00C97A27" w:rsidP="00C97A27">
            <w:pPr>
              <w:pStyle w:val="a3"/>
              <w:spacing w:before="1"/>
              <w:rPr>
                <w:color w:val="EE0000"/>
              </w:rPr>
            </w:pPr>
            <w:r w:rsidRPr="00C97A27">
              <w:rPr>
                <w:color w:val="EE0000"/>
              </w:rPr>
              <w:t>3,85</w:t>
            </w:r>
          </w:p>
        </w:tc>
        <w:tc>
          <w:tcPr>
            <w:tcW w:w="0" w:type="auto"/>
            <w:vAlign w:val="center"/>
            <w:hideMark/>
          </w:tcPr>
          <w:p w14:paraId="026F9F61" w14:textId="77777777" w:rsidR="00C97A27" w:rsidRPr="00C97A27" w:rsidRDefault="00C97A27" w:rsidP="00C97A27">
            <w:pPr>
              <w:pStyle w:val="a3"/>
              <w:spacing w:before="1"/>
              <w:rPr>
                <w:color w:val="EE0000"/>
              </w:rPr>
            </w:pPr>
            <w:r w:rsidRPr="00C97A27">
              <w:rPr>
                <w:color w:val="EE0000"/>
              </w:rPr>
              <w:t>0,88</w:t>
            </w:r>
          </w:p>
        </w:tc>
        <w:tc>
          <w:tcPr>
            <w:tcW w:w="0" w:type="auto"/>
            <w:vAlign w:val="center"/>
            <w:hideMark/>
          </w:tcPr>
          <w:p w14:paraId="0F41FC58" w14:textId="77777777" w:rsidR="00C97A27" w:rsidRPr="00C97A27" w:rsidRDefault="00C97A27" w:rsidP="00C97A27">
            <w:pPr>
              <w:pStyle w:val="a3"/>
              <w:spacing w:before="1"/>
              <w:rPr>
                <w:color w:val="EE0000"/>
              </w:rPr>
            </w:pPr>
            <w:r w:rsidRPr="00C97A27">
              <w:rPr>
                <w:color w:val="EE0000"/>
              </w:rPr>
              <w:t>[3,62 – 4,08]</w:t>
            </w:r>
          </w:p>
        </w:tc>
      </w:tr>
      <w:tr w:rsidR="00C97A27" w:rsidRPr="00C97A27" w14:paraId="4AAB4064" w14:textId="77777777" w:rsidTr="00E33F5F">
        <w:trPr>
          <w:tblCellSpacing w:w="15" w:type="dxa"/>
          <w:jc w:val="center"/>
        </w:trPr>
        <w:tc>
          <w:tcPr>
            <w:tcW w:w="0" w:type="auto"/>
            <w:vAlign w:val="center"/>
            <w:hideMark/>
          </w:tcPr>
          <w:p w14:paraId="0498E87C" w14:textId="77777777" w:rsidR="00C97A27" w:rsidRPr="00C97A27" w:rsidRDefault="00C97A27" w:rsidP="00C97A27">
            <w:pPr>
              <w:pStyle w:val="a3"/>
              <w:spacing w:before="1"/>
              <w:rPr>
                <w:color w:val="EE0000"/>
              </w:rPr>
            </w:pPr>
            <w:r w:rsidRPr="00C97A27">
              <w:rPr>
                <w:color w:val="EE0000"/>
              </w:rPr>
              <w:t>Καλλιέργεια κριτικής σκέψης μαθητών</w:t>
            </w:r>
          </w:p>
        </w:tc>
        <w:tc>
          <w:tcPr>
            <w:tcW w:w="0" w:type="auto"/>
            <w:vAlign w:val="center"/>
            <w:hideMark/>
          </w:tcPr>
          <w:p w14:paraId="791B916B" w14:textId="77777777" w:rsidR="00C97A27" w:rsidRPr="00C97A27" w:rsidRDefault="00C97A27" w:rsidP="00C97A27">
            <w:pPr>
              <w:pStyle w:val="a3"/>
              <w:spacing w:before="1"/>
              <w:rPr>
                <w:color w:val="EE0000"/>
              </w:rPr>
            </w:pPr>
            <w:r w:rsidRPr="00C97A27">
              <w:rPr>
                <w:color w:val="EE0000"/>
              </w:rPr>
              <w:t>3,72</w:t>
            </w:r>
          </w:p>
        </w:tc>
        <w:tc>
          <w:tcPr>
            <w:tcW w:w="0" w:type="auto"/>
            <w:vAlign w:val="center"/>
            <w:hideMark/>
          </w:tcPr>
          <w:p w14:paraId="31A6B4CD" w14:textId="77777777" w:rsidR="00C97A27" w:rsidRPr="00C97A27" w:rsidRDefault="00C97A27" w:rsidP="00C97A27">
            <w:pPr>
              <w:pStyle w:val="a3"/>
              <w:spacing w:before="1"/>
              <w:rPr>
                <w:color w:val="EE0000"/>
              </w:rPr>
            </w:pPr>
            <w:r w:rsidRPr="00C97A27">
              <w:rPr>
                <w:color w:val="EE0000"/>
              </w:rPr>
              <w:t>0,91</w:t>
            </w:r>
          </w:p>
        </w:tc>
        <w:tc>
          <w:tcPr>
            <w:tcW w:w="0" w:type="auto"/>
            <w:vAlign w:val="center"/>
            <w:hideMark/>
          </w:tcPr>
          <w:p w14:paraId="6372EAEC" w14:textId="77777777" w:rsidR="00C97A27" w:rsidRPr="00C97A27" w:rsidRDefault="00C97A27" w:rsidP="00C97A27">
            <w:pPr>
              <w:pStyle w:val="a3"/>
              <w:spacing w:before="1"/>
              <w:rPr>
                <w:color w:val="EE0000"/>
              </w:rPr>
            </w:pPr>
            <w:r w:rsidRPr="00C97A27">
              <w:rPr>
                <w:color w:val="EE0000"/>
              </w:rPr>
              <w:t>[3,48 – 3,96]</w:t>
            </w:r>
          </w:p>
        </w:tc>
      </w:tr>
    </w:tbl>
    <w:p w14:paraId="0746A231" w14:textId="0C495960" w:rsidR="003D75FE" w:rsidRDefault="00193859" w:rsidP="003D75FE">
      <w:pPr>
        <w:pStyle w:val="a3"/>
        <w:spacing w:before="240"/>
        <w:ind w:left="0"/>
        <w:jc w:val="center"/>
        <w:rPr>
          <w:b/>
        </w:rPr>
      </w:pPr>
      <w:r>
        <w:rPr>
          <w:b/>
        </w:rPr>
        <w:t>Πίνακας</w:t>
      </w:r>
      <w:r>
        <w:rPr>
          <w:b/>
          <w:spacing w:val="-4"/>
        </w:rPr>
        <w:t xml:space="preserve"> </w:t>
      </w:r>
      <w:r w:rsidR="00EC6DC9">
        <w:rPr>
          <w:b/>
        </w:rPr>
        <w:t>2</w:t>
      </w:r>
      <w:r>
        <w:rPr>
          <w:b/>
        </w:rPr>
        <w:t>.</w:t>
      </w:r>
      <w:r>
        <w:rPr>
          <w:b/>
          <w:spacing w:val="-3"/>
        </w:rPr>
        <w:t xml:space="preserve"> </w:t>
      </w:r>
      <w:bookmarkStart w:id="0" w:name="_Hlk210634502"/>
      <w:r>
        <w:rPr>
          <w:b/>
        </w:rPr>
        <w:t>Αντιλήψεις</w:t>
      </w:r>
      <w:r>
        <w:rPr>
          <w:b/>
          <w:spacing w:val="-4"/>
        </w:rPr>
        <w:t xml:space="preserve"> </w:t>
      </w:r>
      <w:r>
        <w:rPr>
          <w:b/>
        </w:rPr>
        <w:t>των</w:t>
      </w:r>
      <w:r>
        <w:rPr>
          <w:b/>
          <w:spacing w:val="-4"/>
        </w:rPr>
        <w:t xml:space="preserve"> </w:t>
      </w:r>
      <w:r>
        <w:rPr>
          <w:b/>
        </w:rPr>
        <w:t>καθηγητών</w:t>
      </w:r>
      <w:r w:rsidRPr="00742BB6">
        <w:t xml:space="preserve"> </w:t>
      </w:r>
      <w:r w:rsidRPr="00742BB6">
        <w:rPr>
          <w:b/>
        </w:rPr>
        <w:t>για το Πολλαπλό Βιβλίο</w:t>
      </w:r>
      <w:bookmarkEnd w:id="0"/>
    </w:p>
    <w:p w14:paraId="64D64227" w14:textId="77777777" w:rsidR="003D75FE" w:rsidRDefault="003D75FE" w:rsidP="003D75FE">
      <w:pPr>
        <w:pStyle w:val="a3"/>
        <w:ind w:left="0"/>
        <w:jc w:val="center"/>
        <w:rPr>
          <w:b/>
        </w:rPr>
      </w:pPr>
    </w:p>
    <w:p w14:paraId="108DCDC0" w14:textId="1B6270DD" w:rsidR="003D75FE" w:rsidRPr="003D75FE" w:rsidRDefault="003D75FE" w:rsidP="003D75FE">
      <w:pPr>
        <w:pStyle w:val="a3"/>
        <w:ind w:firstLine="284"/>
        <w:jc w:val="both"/>
        <w:rPr>
          <w:color w:val="EE0000"/>
        </w:rPr>
      </w:pPr>
      <w:r w:rsidRPr="003D75FE">
        <w:rPr>
          <w:color w:val="EE0000"/>
        </w:rPr>
        <w:t>Η ανάλυση των δεδομένων δείχνει ότι οι εκπαιδευτικοί αναγνωρίζουν σε υψηλό βαθμό τη συμβολή του θεσμού στην προαγωγή της παιδαγωγικής ελευθερίας (Μ.Ο.=3,97) και την ενίσχυση του πλουραλισμού (Μ.Ο.=3,88). Θετική είναι επίσης η αποτίμηση για την παροχή κινήτρων προς δημιουργικές πρακτικές (Μ.Ο.=3,85) και την καλλιέργεια της κριτικής σκέψης των μαθητών (Μ.Ο.=3,72).</w:t>
      </w:r>
    </w:p>
    <w:p w14:paraId="3653F16A" w14:textId="06731A1F" w:rsidR="003D75FE" w:rsidRDefault="003D75FE" w:rsidP="003D75FE">
      <w:pPr>
        <w:pStyle w:val="a3"/>
        <w:ind w:firstLine="284"/>
        <w:jc w:val="both"/>
        <w:rPr>
          <w:color w:val="EE0000"/>
        </w:rPr>
      </w:pPr>
      <w:r w:rsidRPr="003D75FE">
        <w:rPr>
          <w:color w:val="EE0000"/>
        </w:rPr>
        <w:lastRenderedPageBreak/>
        <w:t>Παρά τη γενική θετική στάση, η εξέταση της τυπικής απόκλισης και των διαστημάτων εμπιστοσύνης υποδεικνύει μια σχετική διαφοροποίηση στις απόψεις. Η διακύμανση αυτή υποδηλώνει ότι, ενώ η πλειονότητα αποδέχεται την παιδαγωγική υπεροχή του θεσμού, μια μερίδα εκπαιδευτικών διατηρεί επιφυλάξεις, αξιολογώντας ορισμένες πτυχές με πιο ουδέτερο τρόπο. Η έλλειψη πλήρους ομοιογένειας στις απαντήσεις καθιστά αναγκαία τη διερεύνηση των παραγόντων που επηρεάζουν αυτές τις αντιλήψεις, όπως οι δυσκολίες εφαρμογής που εξετάζονται στη συνέχεια.</w:t>
      </w:r>
    </w:p>
    <w:p w14:paraId="76003058" w14:textId="77777777" w:rsidR="003D75FE" w:rsidRPr="003D75FE" w:rsidRDefault="003D75FE" w:rsidP="003D75FE">
      <w:pPr>
        <w:pStyle w:val="a3"/>
        <w:ind w:firstLine="284"/>
        <w:jc w:val="both"/>
        <w:rPr>
          <w:color w:val="EE0000"/>
        </w:rPr>
      </w:pPr>
    </w:p>
    <w:p w14:paraId="6C58004F" w14:textId="77777777" w:rsidR="003D75FE" w:rsidRDefault="00675457" w:rsidP="003D75FE">
      <w:pPr>
        <w:pStyle w:val="a3"/>
        <w:spacing w:before="1"/>
        <w:ind w:left="0" w:firstLine="284"/>
        <w:jc w:val="both"/>
        <w:rPr>
          <w:i/>
          <w:iCs/>
          <w:spacing w:val="-2"/>
        </w:rPr>
      </w:pPr>
      <w:bookmarkStart w:id="1" w:name="_Hlk210136914"/>
      <w:r w:rsidRPr="001C585A">
        <w:rPr>
          <w:i/>
          <w:iCs/>
          <w:spacing w:val="-2"/>
        </w:rPr>
        <w:t>Δυσκολίες και εμπόδια εφαρμογής</w:t>
      </w:r>
      <w:r w:rsidR="001B13DC" w:rsidRPr="001C585A">
        <w:rPr>
          <w:i/>
          <w:iCs/>
          <w:spacing w:val="-2"/>
        </w:rPr>
        <w:t xml:space="preserve"> </w:t>
      </w:r>
      <w:bookmarkEnd w:id="1"/>
      <w:r w:rsidR="001B13DC" w:rsidRPr="001C585A">
        <w:rPr>
          <w:i/>
          <w:iCs/>
          <w:spacing w:val="-2"/>
        </w:rPr>
        <w:t>(ερωτήσεις 10, 11, 12 και 13)</w:t>
      </w:r>
    </w:p>
    <w:p w14:paraId="5422EC30" w14:textId="2CEB8895" w:rsidR="003D75FE" w:rsidRPr="003D75FE" w:rsidRDefault="003D75FE" w:rsidP="003D75FE">
      <w:pPr>
        <w:pStyle w:val="a3"/>
        <w:spacing w:before="1"/>
        <w:ind w:left="0" w:firstLine="284"/>
        <w:jc w:val="both"/>
        <w:rPr>
          <w:i/>
          <w:iCs/>
          <w:color w:val="EE0000"/>
          <w:spacing w:val="-2"/>
        </w:rPr>
      </w:pPr>
      <w:r w:rsidRPr="003D75FE">
        <w:rPr>
          <w:color w:val="EE0000"/>
        </w:rPr>
        <w:t xml:space="preserve">Η διερεύνηση των προκλήσεων που συνοδεύουν την εισαγωγή του Πολλαπλού Βιβλίου αναδεικνύει κρίσιμους ανασταλτικούς παράγοντες. Οι απαντήσεις των εκπαιδευτικών, όπως αποτυπώνονται στον Πίνακα </w:t>
      </w:r>
      <w:r w:rsidR="00EC6DC9">
        <w:rPr>
          <w:color w:val="EE0000"/>
        </w:rPr>
        <w:t>3</w:t>
      </w:r>
      <w:r w:rsidRPr="003D75FE">
        <w:rPr>
          <w:color w:val="EE0000"/>
        </w:rPr>
        <w:t xml:space="preserve">, υπογραμμίζουν ότι οι δυσκολίες είναι κυρίως δομικές και οργανωτικές. </w:t>
      </w:r>
    </w:p>
    <w:p w14:paraId="5B985CA0" w14:textId="14D3DE85" w:rsidR="00675457" w:rsidRDefault="00675457" w:rsidP="00761075">
      <w:pPr>
        <w:rPr>
          <w:b/>
        </w:rPr>
      </w:pPr>
      <w:bookmarkStart w:id="2" w:name="_Hlk210210110"/>
    </w:p>
    <w:tbl>
      <w:tblPr>
        <w:tblW w:w="0" w:type="auto"/>
        <w:jc w:val="center"/>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3239"/>
        <w:gridCol w:w="519"/>
        <w:gridCol w:w="850"/>
        <w:gridCol w:w="2218"/>
      </w:tblGrid>
      <w:tr w:rsidR="00E33F5F" w:rsidRPr="00E33F5F" w14:paraId="71F547F2" w14:textId="77777777" w:rsidTr="00E33F5F">
        <w:trPr>
          <w:tblHeader/>
          <w:tblCellSpacing w:w="15" w:type="dxa"/>
          <w:jc w:val="center"/>
        </w:trPr>
        <w:tc>
          <w:tcPr>
            <w:tcW w:w="0" w:type="auto"/>
            <w:vAlign w:val="center"/>
            <w:hideMark/>
          </w:tcPr>
          <w:p w14:paraId="53E2526B" w14:textId="77777777" w:rsidR="00E33F5F" w:rsidRPr="00E33F5F" w:rsidRDefault="00E33F5F" w:rsidP="00E33F5F">
            <w:pPr>
              <w:rPr>
                <w:b/>
                <w:bCs/>
                <w:color w:val="EE0000"/>
              </w:rPr>
            </w:pPr>
            <w:r w:rsidRPr="00E33F5F">
              <w:rPr>
                <w:b/>
                <w:bCs/>
                <w:color w:val="EE0000"/>
              </w:rPr>
              <w:t>Μεταβλητή</w:t>
            </w:r>
          </w:p>
        </w:tc>
        <w:tc>
          <w:tcPr>
            <w:tcW w:w="0" w:type="auto"/>
            <w:vAlign w:val="center"/>
            <w:hideMark/>
          </w:tcPr>
          <w:p w14:paraId="2C80B75A" w14:textId="77777777" w:rsidR="00E33F5F" w:rsidRPr="00E33F5F" w:rsidRDefault="00E33F5F" w:rsidP="00E33F5F">
            <w:pPr>
              <w:rPr>
                <w:b/>
                <w:bCs/>
                <w:color w:val="EE0000"/>
              </w:rPr>
            </w:pPr>
            <w:r w:rsidRPr="00E33F5F">
              <w:rPr>
                <w:b/>
                <w:bCs/>
                <w:color w:val="EE0000"/>
              </w:rPr>
              <w:t>Μ.Ο.</w:t>
            </w:r>
          </w:p>
        </w:tc>
        <w:tc>
          <w:tcPr>
            <w:tcW w:w="0" w:type="auto"/>
            <w:vAlign w:val="center"/>
            <w:hideMark/>
          </w:tcPr>
          <w:p w14:paraId="6106C16C" w14:textId="77777777" w:rsidR="00E33F5F" w:rsidRPr="00E33F5F" w:rsidRDefault="00E33F5F" w:rsidP="00E33F5F">
            <w:pPr>
              <w:rPr>
                <w:b/>
                <w:bCs/>
                <w:color w:val="EE0000"/>
              </w:rPr>
            </w:pPr>
            <w:r w:rsidRPr="00E33F5F">
              <w:rPr>
                <w:b/>
                <w:bCs/>
                <w:color w:val="EE0000"/>
              </w:rPr>
              <w:t>Τ.Α. (SD)</w:t>
            </w:r>
          </w:p>
        </w:tc>
        <w:tc>
          <w:tcPr>
            <w:tcW w:w="0" w:type="auto"/>
            <w:vAlign w:val="center"/>
            <w:hideMark/>
          </w:tcPr>
          <w:p w14:paraId="5B37423F" w14:textId="77777777" w:rsidR="00E33F5F" w:rsidRPr="00E33F5F" w:rsidRDefault="00E33F5F" w:rsidP="00E33F5F">
            <w:pPr>
              <w:rPr>
                <w:b/>
                <w:bCs/>
                <w:color w:val="EE0000"/>
              </w:rPr>
            </w:pPr>
            <w:r w:rsidRPr="00E33F5F">
              <w:rPr>
                <w:b/>
                <w:bCs/>
                <w:color w:val="EE0000"/>
              </w:rPr>
              <w:t>95% CI [Lower – Upper]</w:t>
            </w:r>
          </w:p>
        </w:tc>
      </w:tr>
      <w:tr w:rsidR="00E33F5F" w:rsidRPr="00E33F5F" w14:paraId="18CABA62" w14:textId="77777777" w:rsidTr="00E33F5F">
        <w:trPr>
          <w:tblCellSpacing w:w="15" w:type="dxa"/>
          <w:jc w:val="center"/>
        </w:trPr>
        <w:tc>
          <w:tcPr>
            <w:tcW w:w="0" w:type="auto"/>
            <w:tcBorders>
              <w:top w:val="single" w:sz="4" w:space="0" w:color="auto"/>
              <w:bottom w:val="nil"/>
            </w:tcBorders>
            <w:vAlign w:val="center"/>
            <w:hideMark/>
          </w:tcPr>
          <w:p w14:paraId="69D5FFAE" w14:textId="77777777" w:rsidR="00E33F5F" w:rsidRPr="00E33F5F" w:rsidRDefault="00E33F5F" w:rsidP="00E33F5F">
            <w:pPr>
              <w:rPr>
                <w:b/>
                <w:color w:val="EE0000"/>
              </w:rPr>
            </w:pPr>
            <w:r w:rsidRPr="00E33F5F">
              <w:rPr>
                <w:b/>
                <w:color w:val="EE0000"/>
              </w:rPr>
              <w:t>Ανεπαρκής υλικοτεχνική υποδομή</w:t>
            </w:r>
          </w:p>
        </w:tc>
        <w:tc>
          <w:tcPr>
            <w:tcW w:w="0" w:type="auto"/>
            <w:tcBorders>
              <w:top w:val="single" w:sz="4" w:space="0" w:color="auto"/>
              <w:bottom w:val="nil"/>
            </w:tcBorders>
            <w:vAlign w:val="center"/>
            <w:hideMark/>
          </w:tcPr>
          <w:p w14:paraId="51BE9E49" w14:textId="77777777" w:rsidR="00E33F5F" w:rsidRPr="00E33F5F" w:rsidRDefault="00E33F5F" w:rsidP="00E33F5F">
            <w:pPr>
              <w:rPr>
                <w:b/>
                <w:color w:val="EE0000"/>
              </w:rPr>
            </w:pPr>
            <w:r w:rsidRPr="00E33F5F">
              <w:rPr>
                <w:b/>
                <w:color w:val="EE0000"/>
              </w:rPr>
              <w:t>4,32</w:t>
            </w:r>
          </w:p>
        </w:tc>
        <w:tc>
          <w:tcPr>
            <w:tcW w:w="0" w:type="auto"/>
            <w:tcBorders>
              <w:top w:val="single" w:sz="4" w:space="0" w:color="auto"/>
              <w:bottom w:val="nil"/>
            </w:tcBorders>
            <w:vAlign w:val="center"/>
            <w:hideMark/>
          </w:tcPr>
          <w:p w14:paraId="18CB3BD3" w14:textId="77777777" w:rsidR="00E33F5F" w:rsidRPr="00E33F5F" w:rsidRDefault="00E33F5F" w:rsidP="00E33F5F">
            <w:pPr>
              <w:rPr>
                <w:b/>
                <w:color w:val="EE0000"/>
              </w:rPr>
            </w:pPr>
            <w:r w:rsidRPr="00E33F5F">
              <w:rPr>
                <w:b/>
                <w:color w:val="EE0000"/>
              </w:rPr>
              <w:t>0,72</w:t>
            </w:r>
          </w:p>
        </w:tc>
        <w:tc>
          <w:tcPr>
            <w:tcW w:w="0" w:type="auto"/>
            <w:tcBorders>
              <w:top w:val="single" w:sz="4" w:space="0" w:color="auto"/>
              <w:bottom w:val="nil"/>
            </w:tcBorders>
            <w:vAlign w:val="center"/>
            <w:hideMark/>
          </w:tcPr>
          <w:p w14:paraId="47C2D74F" w14:textId="77777777" w:rsidR="00E33F5F" w:rsidRPr="00E33F5F" w:rsidRDefault="00E33F5F" w:rsidP="00E33F5F">
            <w:pPr>
              <w:rPr>
                <w:b/>
                <w:color w:val="EE0000"/>
              </w:rPr>
            </w:pPr>
            <w:r w:rsidRPr="00E33F5F">
              <w:rPr>
                <w:b/>
                <w:color w:val="EE0000"/>
              </w:rPr>
              <w:t>[4,14 – 4,50]</w:t>
            </w:r>
          </w:p>
        </w:tc>
      </w:tr>
      <w:tr w:rsidR="00E33F5F" w:rsidRPr="00E33F5F" w14:paraId="5CE8C20F" w14:textId="77777777" w:rsidTr="00E33F5F">
        <w:trPr>
          <w:tblCellSpacing w:w="15" w:type="dxa"/>
          <w:jc w:val="center"/>
        </w:trPr>
        <w:tc>
          <w:tcPr>
            <w:tcW w:w="0" w:type="auto"/>
            <w:vAlign w:val="center"/>
            <w:hideMark/>
          </w:tcPr>
          <w:p w14:paraId="345CFC6C" w14:textId="77777777" w:rsidR="00E33F5F" w:rsidRPr="00E33F5F" w:rsidRDefault="00E33F5F" w:rsidP="00E33F5F">
            <w:pPr>
              <w:rPr>
                <w:b/>
                <w:color w:val="EE0000"/>
              </w:rPr>
            </w:pPr>
            <w:r w:rsidRPr="00E33F5F">
              <w:rPr>
                <w:b/>
                <w:color w:val="EE0000"/>
              </w:rPr>
              <w:t>Έλλειψη επιμόρφωσης</w:t>
            </w:r>
          </w:p>
        </w:tc>
        <w:tc>
          <w:tcPr>
            <w:tcW w:w="0" w:type="auto"/>
            <w:vAlign w:val="center"/>
            <w:hideMark/>
          </w:tcPr>
          <w:p w14:paraId="6E4C8543" w14:textId="77777777" w:rsidR="00E33F5F" w:rsidRPr="00E33F5F" w:rsidRDefault="00E33F5F" w:rsidP="00E33F5F">
            <w:pPr>
              <w:rPr>
                <w:b/>
                <w:color w:val="EE0000"/>
              </w:rPr>
            </w:pPr>
            <w:r w:rsidRPr="00E33F5F">
              <w:rPr>
                <w:b/>
                <w:color w:val="EE0000"/>
              </w:rPr>
              <w:t>4,20</w:t>
            </w:r>
          </w:p>
        </w:tc>
        <w:tc>
          <w:tcPr>
            <w:tcW w:w="0" w:type="auto"/>
            <w:vAlign w:val="center"/>
            <w:hideMark/>
          </w:tcPr>
          <w:p w14:paraId="08A146DE" w14:textId="77777777" w:rsidR="00E33F5F" w:rsidRPr="00E33F5F" w:rsidRDefault="00E33F5F" w:rsidP="00E33F5F">
            <w:pPr>
              <w:rPr>
                <w:b/>
                <w:color w:val="EE0000"/>
              </w:rPr>
            </w:pPr>
            <w:r w:rsidRPr="00E33F5F">
              <w:rPr>
                <w:b/>
                <w:color w:val="EE0000"/>
              </w:rPr>
              <w:t>0,78</w:t>
            </w:r>
          </w:p>
        </w:tc>
        <w:tc>
          <w:tcPr>
            <w:tcW w:w="0" w:type="auto"/>
            <w:vAlign w:val="center"/>
            <w:hideMark/>
          </w:tcPr>
          <w:p w14:paraId="2E2858F0" w14:textId="77777777" w:rsidR="00E33F5F" w:rsidRPr="00E33F5F" w:rsidRDefault="00E33F5F" w:rsidP="00E33F5F">
            <w:pPr>
              <w:rPr>
                <w:b/>
                <w:color w:val="EE0000"/>
              </w:rPr>
            </w:pPr>
            <w:r w:rsidRPr="00E33F5F">
              <w:rPr>
                <w:b/>
                <w:color w:val="EE0000"/>
              </w:rPr>
              <w:t>[4,00 – 4,40]</w:t>
            </w:r>
          </w:p>
        </w:tc>
      </w:tr>
      <w:tr w:rsidR="00E33F5F" w:rsidRPr="00E33F5F" w14:paraId="711AE62F" w14:textId="77777777" w:rsidTr="00E33F5F">
        <w:trPr>
          <w:tblCellSpacing w:w="15" w:type="dxa"/>
          <w:jc w:val="center"/>
        </w:trPr>
        <w:tc>
          <w:tcPr>
            <w:tcW w:w="0" w:type="auto"/>
            <w:vAlign w:val="center"/>
            <w:hideMark/>
          </w:tcPr>
          <w:p w14:paraId="68698F3D" w14:textId="77777777" w:rsidR="00E33F5F" w:rsidRPr="00E33F5F" w:rsidRDefault="00E33F5F" w:rsidP="00E33F5F">
            <w:pPr>
              <w:rPr>
                <w:b/>
                <w:color w:val="EE0000"/>
              </w:rPr>
            </w:pPr>
            <w:r w:rsidRPr="00E33F5F">
              <w:rPr>
                <w:b/>
                <w:color w:val="EE0000"/>
              </w:rPr>
              <w:t>Περιορισμένος χρόνος μελέτης</w:t>
            </w:r>
          </w:p>
        </w:tc>
        <w:tc>
          <w:tcPr>
            <w:tcW w:w="0" w:type="auto"/>
            <w:vAlign w:val="center"/>
            <w:hideMark/>
          </w:tcPr>
          <w:p w14:paraId="34A9168A" w14:textId="77777777" w:rsidR="00E33F5F" w:rsidRPr="00E33F5F" w:rsidRDefault="00E33F5F" w:rsidP="00E33F5F">
            <w:pPr>
              <w:rPr>
                <w:b/>
                <w:color w:val="EE0000"/>
              </w:rPr>
            </w:pPr>
            <w:r w:rsidRPr="00E33F5F">
              <w:rPr>
                <w:b/>
                <w:color w:val="EE0000"/>
              </w:rPr>
              <w:t>4,03</w:t>
            </w:r>
          </w:p>
        </w:tc>
        <w:tc>
          <w:tcPr>
            <w:tcW w:w="0" w:type="auto"/>
            <w:vAlign w:val="center"/>
            <w:hideMark/>
          </w:tcPr>
          <w:p w14:paraId="55D27DE1" w14:textId="77777777" w:rsidR="00E33F5F" w:rsidRPr="00E33F5F" w:rsidRDefault="00E33F5F" w:rsidP="00E33F5F">
            <w:pPr>
              <w:rPr>
                <w:b/>
                <w:color w:val="EE0000"/>
              </w:rPr>
            </w:pPr>
            <w:r w:rsidRPr="00E33F5F">
              <w:rPr>
                <w:b/>
                <w:color w:val="EE0000"/>
              </w:rPr>
              <w:t>0,85</w:t>
            </w:r>
          </w:p>
        </w:tc>
        <w:tc>
          <w:tcPr>
            <w:tcW w:w="0" w:type="auto"/>
            <w:vAlign w:val="center"/>
            <w:hideMark/>
          </w:tcPr>
          <w:p w14:paraId="0734011A" w14:textId="77777777" w:rsidR="00E33F5F" w:rsidRPr="00E33F5F" w:rsidRDefault="00E33F5F" w:rsidP="00E33F5F">
            <w:pPr>
              <w:rPr>
                <w:b/>
                <w:color w:val="EE0000"/>
              </w:rPr>
            </w:pPr>
            <w:r w:rsidRPr="00E33F5F">
              <w:rPr>
                <w:b/>
                <w:color w:val="EE0000"/>
              </w:rPr>
              <w:t>[3,81 – 4,25]</w:t>
            </w:r>
          </w:p>
        </w:tc>
      </w:tr>
      <w:tr w:rsidR="00E33F5F" w:rsidRPr="00E33F5F" w14:paraId="0E700E24" w14:textId="77777777" w:rsidTr="00E33F5F">
        <w:trPr>
          <w:tblCellSpacing w:w="15" w:type="dxa"/>
          <w:jc w:val="center"/>
        </w:trPr>
        <w:tc>
          <w:tcPr>
            <w:tcW w:w="0" w:type="auto"/>
            <w:vAlign w:val="center"/>
            <w:hideMark/>
          </w:tcPr>
          <w:p w14:paraId="2FFD8B91" w14:textId="77777777" w:rsidR="00E33F5F" w:rsidRPr="00E33F5F" w:rsidRDefault="00E33F5F" w:rsidP="00E33F5F">
            <w:pPr>
              <w:rPr>
                <w:b/>
                <w:color w:val="EE0000"/>
              </w:rPr>
            </w:pPr>
            <w:r w:rsidRPr="00E33F5F">
              <w:rPr>
                <w:b/>
                <w:color w:val="EE0000"/>
              </w:rPr>
              <w:t>Πιθανή σύγχυση μαθητών</w:t>
            </w:r>
          </w:p>
        </w:tc>
        <w:tc>
          <w:tcPr>
            <w:tcW w:w="0" w:type="auto"/>
            <w:vAlign w:val="center"/>
            <w:hideMark/>
          </w:tcPr>
          <w:p w14:paraId="2CE00222" w14:textId="77777777" w:rsidR="00E33F5F" w:rsidRPr="00E33F5F" w:rsidRDefault="00E33F5F" w:rsidP="00E33F5F">
            <w:pPr>
              <w:rPr>
                <w:b/>
                <w:color w:val="EE0000"/>
              </w:rPr>
            </w:pPr>
            <w:r w:rsidRPr="00E33F5F">
              <w:rPr>
                <w:b/>
                <w:color w:val="EE0000"/>
              </w:rPr>
              <w:t>3,82</w:t>
            </w:r>
          </w:p>
        </w:tc>
        <w:tc>
          <w:tcPr>
            <w:tcW w:w="0" w:type="auto"/>
            <w:vAlign w:val="center"/>
            <w:hideMark/>
          </w:tcPr>
          <w:p w14:paraId="28BE9EA1" w14:textId="77777777" w:rsidR="00E33F5F" w:rsidRPr="00E33F5F" w:rsidRDefault="00E33F5F" w:rsidP="00E33F5F">
            <w:pPr>
              <w:rPr>
                <w:b/>
                <w:color w:val="EE0000"/>
              </w:rPr>
            </w:pPr>
            <w:r w:rsidRPr="00E33F5F">
              <w:rPr>
                <w:b/>
                <w:color w:val="EE0000"/>
              </w:rPr>
              <w:t>0,94</w:t>
            </w:r>
          </w:p>
        </w:tc>
        <w:tc>
          <w:tcPr>
            <w:tcW w:w="0" w:type="auto"/>
            <w:vAlign w:val="center"/>
            <w:hideMark/>
          </w:tcPr>
          <w:p w14:paraId="33D85CE2" w14:textId="77777777" w:rsidR="00E33F5F" w:rsidRPr="00E33F5F" w:rsidRDefault="00E33F5F" w:rsidP="00E33F5F">
            <w:pPr>
              <w:rPr>
                <w:b/>
                <w:color w:val="EE0000"/>
              </w:rPr>
            </w:pPr>
            <w:r w:rsidRPr="00E33F5F">
              <w:rPr>
                <w:b/>
                <w:color w:val="EE0000"/>
              </w:rPr>
              <w:t>[3,58 – 4,06]</w:t>
            </w:r>
          </w:p>
        </w:tc>
      </w:tr>
    </w:tbl>
    <w:bookmarkEnd w:id="2"/>
    <w:p w14:paraId="7A1D30A4" w14:textId="50141BBB" w:rsidR="00675457" w:rsidRDefault="00193859" w:rsidP="00E33F5F">
      <w:pPr>
        <w:pStyle w:val="a3"/>
        <w:spacing w:before="240"/>
        <w:ind w:left="0"/>
        <w:jc w:val="center"/>
        <w:rPr>
          <w:b/>
        </w:rPr>
      </w:pPr>
      <w:r>
        <w:rPr>
          <w:b/>
        </w:rPr>
        <w:t>Πίνακας</w:t>
      </w:r>
      <w:r>
        <w:rPr>
          <w:b/>
          <w:spacing w:val="-4"/>
        </w:rPr>
        <w:t xml:space="preserve"> </w:t>
      </w:r>
      <w:r w:rsidR="00EC6DC9">
        <w:rPr>
          <w:b/>
        </w:rPr>
        <w:t>3</w:t>
      </w:r>
      <w:r>
        <w:rPr>
          <w:b/>
        </w:rPr>
        <w:t>.</w:t>
      </w:r>
      <w:r>
        <w:rPr>
          <w:b/>
          <w:spacing w:val="-3"/>
        </w:rPr>
        <w:t xml:space="preserve"> </w:t>
      </w:r>
      <w:bookmarkStart w:id="3" w:name="_Hlk210636345"/>
      <w:r>
        <w:rPr>
          <w:b/>
        </w:rPr>
        <w:t>Αντιλήψεις</w:t>
      </w:r>
      <w:r>
        <w:rPr>
          <w:b/>
          <w:spacing w:val="-4"/>
        </w:rPr>
        <w:t xml:space="preserve"> </w:t>
      </w:r>
      <w:r>
        <w:rPr>
          <w:b/>
        </w:rPr>
        <w:t>των</w:t>
      </w:r>
      <w:r>
        <w:rPr>
          <w:b/>
          <w:spacing w:val="-4"/>
        </w:rPr>
        <w:t xml:space="preserve"> </w:t>
      </w:r>
      <w:r>
        <w:rPr>
          <w:b/>
        </w:rPr>
        <w:t>καθηγητών</w:t>
      </w:r>
      <w:r w:rsidRPr="001B13DC">
        <w:t xml:space="preserve"> </w:t>
      </w:r>
      <w:r w:rsidRPr="001B13DC">
        <w:rPr>
          <w:b/>
          <w:bCs/>
        </w:rPr>
        <w:t>για τις</w:t>
      </w:r>
      <w:r>
        <w:t xml:space="preserve"> </w:t>
      </w:r>
      <w:r>
        <w:rPr>
          <w:b/>
        </w:rPr>
        <w:t>δ</w:t>
      </w:r>
      <w:r w:rsidRPr="001B13DC">
        <w:rPr>
          <w:b/>
        </w:rPr>
        <w:t>υσκολίες και εμπόδια εφαρμογής</w:t>
      </w:r>
      <w:bookmarkEnd w:id="3"/>
    </w:p>
    <w:p w14:paraId="3F34AFC9" w14:textId="77777777" w:rsidR="00AD78CE" w:rsidRDefault="00AD78CE" w:rsidP="005F7914">
      <w:pPr>
        <w:pStyle w:val="a3"/>
        <w:spacing w:before="1"/>
        <w:ind w:left="0"/>
        <w:jc w:val="both"/>
        <w:rPr>
          <w:spacing w:val="-2"/>
        </w:rPr>
      </w:pPr>
    </w:p>
    <w:p w14:paraId="734F4FBE" w14:textId="77777777" w:rsidR="00E33F5F" w:rsidRPr="00E33F5F" w:rsidRDefault="00E33F5F" w:rsidP="00E33F5F">
      <w:pPr>
        <w:pStyle w:val="a3"/>
        <w:spacing w:before="1"/>
        <w:ind w:firstLine="284"/>
        <w:jc w:val="both"/>
        <w:rPr>
          <w:color w:val="EE0000"/>
          <w:spacing w:val="-2"/>
        </w:rPr>
      </w:pPr>
      <w:r w:rsidRPr="00E33F5F">
        <w:rPr>
          <w:color w:val="EE0000"/>
          <w:spacing w:val="-2"/>
        </w:rPr>
        <w:t>Η ανάλυση των δεδομένων καταδεικνύει ότι η ανεπαρκής υλικοτεχνική υποδομή (Μ.Ο.=4,32) και η έλλειψη επιμόρφωσης (Μ.Ο.=4,20) αποτελούν τα σημαντικότερα εμπόδια για τους εκπαιδευτικούς. Οι τιμές αυτές, σε συνδυασμό με τα στενά διαστήματα εμπιστοσύνης (95% CI), υποδηλώνουν μια ισχυρή σύγκλιση απόψεων στο δείγμα σχετικά με την κρισιμότητα αυτών των παραγόντων. Ο περιορισμένος χρόνος για τη μελέτη εναλλακτικών πηγών (Μ.Ο.=4,03) αξιολογείται επίσης ως ουσιαστική δυσκολία, ενώ η ανησυχία για πιθανή σύγχυση των μαθητών (Μ.Ο.=3,82) καταγράφεται ως υπαρκτό αλλά συγκριτικά ηπιότερο πρόβλημα.</w:t>
      </w:r>
    </w:p>
    <w:p w14:paraId="44B31A9E" w14:textId="77777777" w:rsidR="00E33F5F" w:rsidRPr="00E33F5F" w:rsidRDefault="00E33F5F" w:rsidP="00E33F5F">
      <w:pPr>
        <w:pStyle w:val="a3"/>
        <w:spacing w:before="1"/>
        <w:ind w:firstLine="284"/>
        <w:jc w:val="both"/>
        <w:rPr>
          <w:color w:val="EE0000"/>
          <w:spacing w:val="-2"/>
        </w:rPr>
      </w:pPr>
      <w:r w:rsidRPr="00E33F5F">
        <w:rPr>
          <w:color w:val="EE0000"/>
          <w:spacing w:val="-2"/>
        </w:rPr>
        <w:t>Τα ευρήματα αυτά ευθυγραμμίζονται με το θεωρητικό πλαίσιο του Fullan (2016), ο οποίος επισημαίνει ότι η επιτυχία οποιασδήποτε εκπαιδευτικής μεταρρύθμισης εξαρτάται άμεσα από την παροχή επαρκών πόρων και τη συνεχή επαγγελματική υποστήριξη των εκπαιδευτικών. Παράλληλα, η ανάγκη για ουσιαστική προετοιμασία υπογραμμίζεται και από τη βιβλιογραφία για την αποτελεσματική διδασκαλία (Hattie, 2018), καθώς οι εκπαιδευτικοί καλούνται να μεταβούν από τον ρόλο του χρήστη ενός μοναδικού εγχειριδίου στον ρόλο του διαχειριστή πολλαπλών πηγών, μια διαδικασία που απαιτεί χρόνο και εξειδικευμένες δεξιότητες.</w:t>
      </w:r>
    </w:p>
    <w:p w14:paraId="0CD6D770" w14:textId="77777777" w:rsidR="00E33F5F" w:rsidRDefault="00E33F5F" w:rsidP="00E33F5F">
      <w:pPr>
        <w:pStyle w:val="a3"/>
        <w:spacing w:before="1"/>
        <w:jc w:val="both"/>
        <w:rPr>
          <w:spacing w:val="-2"/>
        </w:rPr>
      </w:pPr>
    </w:p>
    <w:p w14:paraId="15AF55B2" w14:textId="2076E90A" w:rsidR="00E8722D" w:rsidRPr="00E33F5F" w:rsidRDefault="00E8722D" w:rsidP="00E33F5F">
      <w:pPr>
        <w:pStyle w:val="a3"/>
        <w:spacing w:before="1"/>
        <w:ind w:firstLine="284"/>
        <w:jc w:val="both"/>
        <w:rPr>
          <w:spacing w:val="-2"/>
        </w:rPr>
      </w:pPr>
      <w:r w:rsidRPr="001C585A">
        <w:rPr>
          <w:i/>
          <w:iCs/>
          <w:spacing w:val="-2"/>
        </w:rPr>
        <w:t>Επίδραση στη διδασκαλία και στη μαθησιακή διαδικασία (ερωτήσεις 14, 15, 16 και 17)</w:t>
      </w:r>
    </w:p>
    <w:p w14:paraId="6FA7ED2B" w14:textId="35F202DA" w:rsidR="00E8722D" w:rsidRDefault="00F0360B" w:rsidP="009E49BF">
      <w:pPr>
        <w:pStyle w:val="a3"/>
        <w:ind w:left="0" w:firstLine="284"/>
        <w:jc w:val="both"/>
        <w:rPr>
          <w:color w:val="EE0000"/>
        </w:rPr>
      </w:pPr>
      <w:r w:rsidRPr="00F0360B">
        <w:rPr>
          <w:color w:val="EE0000"/>
        </w:rPr>
        <w:t xml:space="preserve">Η τελευταία ενότητα της έρευνας διερεύνησε τις αντιλήψεις των εκπαιδευτικών σχετικά με τις μακροπρόθεσμες επιπτώσεις του Πολλαπλού Βιβλίου. Τα δεδομένα, όπως παρουσιάζονται στον Πίνακα </w:t>
      </w:r>
      <w:r w:rsidR="00EC6DC9">
        <w:rPr>
          <w:color w:val="EE0000"/>
        </w:rPr>
        <w:t>4</w:t>
      </w:r>
      <w:r w:rsidRPr="00F0360B">
        <w:rPr>
          <w:color w:val="EE0000"/>
        </w:rPr>
        <w:t>, υποδεικνύουν μια σαφή διάκριση ανάμεσα στην ενδυνάμωση του εκπαιδευτικού ρόλου και τα άμεσα μαθησιακά οφέλη.</w:t>
      </w:r>
    </w:p>
    <w:p w14:paraId="28D92874" w14:textId="77777777" w:rsidR="00F0360B" w:rsidRPr="00F0360B" w:rsidRDefault="00F0360B" w:rsidP="009E49BF">
      <w:pPr>
        <w:pStyle w:val="a3"/>
        <w:ind w:left="0" w:firstLine="284"/>
        <w:jc w:val="both"/>
        <w:rPr>
          <w:color w:val="EE0000"/>
        </w:rPr>
      </w:pPr>
    </w:p>
    <w:tbl>
      <w:tblPr>
        <w:tblW w:w="0" w:type="auto"/>
        <w:jc w:val="center"/>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2882"/>
        <w:gridCol w:w="519"/>
        <w:gridCol w:w="850"/>
        <w:gridCol w:w="2218"/>
      </w:tblGrid>
      <w:tr w:rsidR="00F0360B" w:rsidRPr="00F0360B" w14:paraId="2C6425AD" w14:textId="77777777" w:rsidTr="00F0360B">
        <w:trPr>
          <w:tblHeader/>
          <w:tblCellSpacing w:w="15" w:type="dxa"/>
          <w:jc w:val="center"/>
        </w:trPr>
        <w:tc>
          <w:tcPr>
            <w:tcW w:w="0" w:type="auto"/>
            <w:vAlign w:val="center"/>
            <w:hideMark/>
          </w:tcPr>
          <w:p w14:paraId="5381D569" w14:textId="77777777" w:rsidR="00F0360B" w:rsidRPr="00F0360B" w:rsidRDefault="00F0360B" w:rsidP="00F0360B">
            <w:pPr>
              <w:rPr>
                <w:b/>
                <w:bCs/>
                <w:color w:val="EE0000"/>
              </w:rPr>
            </w:pPr>
            <w:r w:rsidRPr="00F0360B">
              <w:rPr>
                <w:b/>
                <w:bCs/>
                <w:color w:val="EE0000"/>
              </w:rPr>
              <w:t>Μεταβλητή</w:t>
            </w:r>
          </w:p>
        </w:tc>
        <w:tc>
          <w:tcPr>
            <w:tcW w:w="0" w:type="auto"/>
            <w:vAlign w:val="center"/>
            <w:hideMark/>
          </w:tcPr>
          <w:p w14:paraId="36E50B5D" w14:textId="77777777" w:rsidR="00F0360B" w:rsidRPr="00F0360B" w:rsidRDefault="00F0360B" w:rsidP="00F0360B">
            <w:pPr>
              <w:rPr>
                <w:b/>
                <w:bCs/>
                <w:color w:val="EE0000"/>
              </w:rPr>
            </w:pPr>
            <w:r w:rsidRPr="00F0360B">
              <w:rPr>
                <w:b/>
                <w:bCs/>
                <w:color w:val="EE0000"/>
              </w:rPr>
              <w:t>Μ.Ο.</w:t>
            </w:r>
          </w:p>
        </w:tc>
        <w:tc>
          <w:tcPr>
            <w:tcW w:w="0" w:type="auto"/>
            <w:vAlign w:val="center"/>
            <w:hideMark/>
          </w:tcPr>
          <w:p w14:paraId="0BF1D00C" w14:textId="77777777" w:rsidR="00F0360B" w:rsidRPr="00F0360B" w:rsidRDefault="00F0360B" w:rsidP="00F0360B">
            <w:pPr>
              <w:rPr>
                <w:b/>
                <w:bCs/>
                <w:color w:val="EE0000"/>
              </w:rPr>
            </w:pPr>
            <w:r w:rsidRPr="00F0360B">
              <w:rPr>
                <w:b/>
                <w:bCs/>
                <w:color w:val="EE0000"/>
              </w:rPr>
              <w:t>Τ.Α. (SD)</w:t>
            </w:r>
          </w:p>
        </w:tc>
        <w:tc>
          <w:tcPr>
            <w:tcW w:w="0" w:type="auto"/>
            <w:vAlign w:val="center"/>
            <w:hideMark/>
          </w:tcPr>
          <w:p w14:paraId="56C706FE" w14:textId="77777777" w:rsidR="00F0360B" w:rsidRPr="00F0360B" w:rsidRDefault="00F0360B" w:rsidP="00F0360B">
            <w:pPr>
              <w:rPr>
                <w:b/>
                <w:bCs/>
                <w:color w:val="EE0000"/>
              </w:rPr>
            </w:pPr>
            <w:r w:rsidRPr="00F0360B">
              <w:rPr>
                <w:b/>
                <w:bCs/>
                <w:color w:val="EE0000"/>
              </w:rPr>
              <w:t>95% CI [Lower – Upper]</w:t>
            </w:r>
          </w:p>
        </w:tc>
      </w:tr>
      <w:tr w:rsidR="00F0360B" w:rsidRPr="00F0360B" w14:paraId="68BEE1EA" w14:textId="77777777" w:rsidTr="00F0360B">
        <w:trPr>
          <w:tblCellSpacing w:w="15" w:type="dxa"/>
          <w:jc w:val="center"/>
        </w:trPr>
        <w:tc>
          <w:tcPr>
            <w:tcW w:w="0" w:type="auto"/>
            <w:tcBorders>
              <w:top w:val="single" w:sz="4" w:space="0" w:color="auto"/>
              <w:bottom w:val="nil"/>
            </w:tcBorders>
            <w:vAlign w:val="center"/>
            <w:hideMark/>
          </w:tcPr>
          <w:p w14:paraId="19062ACD" w14:textId="77777777" w:rsidR="00F0360B" w:rsidRPr="00F0360B" w:rsidRDefault="00F0360B" w:rsidP="00F0360B">
            <w:pPr>
              <w:rPr>
                <w:b/>
                <w:color w:val="EE0000"/>
              </w:rPr>
            </w:pPr>
            <w:r w:rsidRPr="00F0360B">
              <w:rPr>
                <w:b/>
                <w:color w:val="EE0000"/>
              </w:rPr>
              <w:t>Αυτονομία εκπαιδευτικού</w:t>
            </w:r>
          </w:p>
        </w:tc>
        <w:tc>
          <w:tcPr>
            <w:tcW w:w="0" w:type="auto"/>
            <w:tcBorders>
              <w:top w:val="single" w:sz="4" w:space="0" w:color="auto"/>
              <w:bottom w:val="nil"/>
            </w:tcBorders>
            <w:vAlign w:val="center"/>
            <w:hideMark/>
          </w:tcPr>
          <w:p w14:paraId="1CA4C2DB" w14:textId="77777777" w:rsidR="00F0360B" w:rsidRPr="00F0360B" w:rsidRDefault="00F0360B" w:rsidP="00F0360B">
            <w:pPr>
              <w:rPr>
                <w:b/>
                <w:color w:val="EE0000"/>
              </w:rPr>
            </w:pPr>
            <w:r w:rsidRPr="00F0360B">
              <w:rPr>
                <w:b/>
                <w:color w:val="EE0000"/>
              </w:rPr>
              <w:t>3,77</w:t>
            </w:r>
          </w:p>
        </w:tc>
        <w:tc>
          <w:tcPr>
            <w:tcW w:w="0" w:type="auto"/>
            <w:tcBorders>
              <w:top w:val="single" w:sz="4" w:space="0" w:color="auto"/>
              <w:bottom w:val="nil"/>
            </w:tcBorders>
            <w:vAlign w:val="center"/>
            <w:hideMark/>
          </w:tcPr>
          <w:p w14:paraId="77D410DD" w14:textId="77777777" w:rsidR="00F0360B" w:rsidRPr="00F0360B" w:rsidRDefault="00F0360B" w:rsidP="00F0360B">
            <w:pPr>
              <w:rPr>
                <w:b/>
                <w:color w:val="EE0000"/>
              </w:rPr>
            </w:pPr>
            <w:r w:rsidRPr="00F0360B">
              <w:rPr>
                <w:b/>
                <w:color w:val="EE0000"/>
              </w:rPr>
              <w:t>0,86</w:t>
            </w:r>
          </w:p>
        </w:tc>
        <w:tc>
          <w:tcPr>
            <w:tcW w:w="0" w:type="auto"/>
            <w:tcBorders>
              <w:top w:val="single" w:sz="4" w:space="0" w:color="auto"/>
              <w:bottom w:val="nil"/>
            </w:tcBorders>
            <w:vAlign w:val="center"/>
            <w:hideMark/>
          </w:tcPr>
          <w:p w14:paraId="1D97EF2A" w14:textId="77777777" w:rsidR="00F0360B" w:rsidRPr="00F0360B" w:rsidRDefault="00F0360B" w:rsidP="00F0360B">
            <w:pPr>
              <w:rPr>
                <w:b/>
                <w:color w:val="EE0000"/>
              </w:rPr>
            </w:pPr>
            <w:r w:rsidRPr="00F0360B">
              <w:rPr>
                <w:b/>
                <w:color w:val="EE0000"/>
              </w:rPr>
              <w:t>[3,55 – 3,99]</w:t>
            </w:r>
          </w:p>
        </w:tc>
      </w:tr>
      <w:tr w:rsidR="00F0360B" w:rsidRPr="00F0360B" w14:paraId="46610DBC" w14:textId="77777777" w:rsidTr="00F0360B">
        <w:trPr>
          <w:tblCellSpacing w:w="15" w:type="dxa"/>
          <w:jc w:val="center"/>
        </w:trPr>
        <w:tc>
          <w:tcPr>
            <w:tcW w:w="0" w:type="auto"/>
            <w:vAlign w:val="center"/>
            <w:hideMark/>
          </w:tcPr>
          <w:p w14:paraId="7DEDCF08" w14:textId="77777777" w:rsidR="00F0360B" w:rsidRPr="00F0360B" w:rsidRDefault="00F0360B" w:rsidP="00F0360B">
            <w:pPr>
              <w:rPr>
                <w:b/>
                <w:color w:val="EE0000"/>
              </w:rPr>
            </w:pPr>
            <w:r w:rsidRPr="00F0360B">
              <w:rPr>
                <w:b/>
                <w:color w:val="EE0000"/>
              </w:rPr>
              <w:t>Ποιότητα διδασκαλίας</w:t>
            </w:r>
          </w:p>
        </w:tc>
        <w:tc>
          <w:tcPr>
            <w:tcW w:w="0" w:type="auto"/>
            <w:vAlign w:val="center"/>
            <w:hideMark/>
          </w:tcPr>
          <w:p w14:paraId="272C5DDE" w14:textId="77777777" w:rsidR="00F0360B" w:rsidRPr="00F0360B" w:rsidRDefault="00F0360B" w:rsidP="00F0360B">
            <w:pPr>
              <w:rPr>
                <w:b/>
                <w:color w:val="EE0000"/>
              </w:rPr>
            </w:pPr>
            <w:r w:rsidRPr="00F0360B">
              <w:rPr>
                <w:b/>
                <w:color w:val="EE0000"/>
              </w:rPr>
              <w:t>3,65</w:t>
            </w:r>
          </w:p>
        </w:tc>
        <w:tc>
          <w:tcPr>
            <w:tcW w:w="0" w:type="auto"/>
            <w:vAlign w:val="center"/>
            <w:hideMark/>
          </w:tcPr>
          <w:p w14:paraId="6C19E024" w14:textId="77777777" w:rsidR="00F0360B" w:rsidRPr="00F0360B" w:rsidRDefault="00F0360B" w:rsidP="00F0360B">
            <w:pPr>
              <w:rPr>
                <w:b/>
                <w:color w:val="EE0000"/>
              </w:rPr>
            </w:pPr>
            <w:r w:rsidRPr="00F0360B">
              <w:rPr>
                <w:b/>
                <w:color w:val="EE0000"/>
              </w:rPr>
              <w:t>0,89</w:t>
            </w:r>
          </w:p>
        </w:tc>
        <w:tc>
          <w:tcPr>
            <w:tcW w:w="0" w:type="auto"/>
            <w:vAlign w:val="center"/>
            <w:hideMark/>
          </w:tcPr>
          <w:p w14:paraId="37B8C4C2" w14:textId="77777777" w:rsidR="00F0360B" w:rsidRPr="00F0360B" w:rsidRDefault="00F0360B" w:rsidP="00F0360B">
            <w:pPr>
              <w:rPr>
                <w:b/>
                <w:color w:val="EE0000"/>
              </w:rPr>
            </w:pPr>
            <w:r w:rsidRPr="00F0360B">
              <w:rPr>
                <w:b/>
                <w:color w:val="EE0000"/>
              </w:rPr>
              <w:t>[3,42 – 3,88]</w:t>
            </w:r>
          </w:p>
        </w:tc>
      </w:tr>
      <w:tr w:rsidR="00F0360B" w:rsidRPr="00F0360B" w14:paraId="3DFF8B32" w14:textId="77777777" w:rsidTr="00F0360B">
        <w:trPr>
          <w:tblCellSpacing w:w="15" w:type="dxa"/>
          <w:jc w:val="center"/>
        </w:trPr>
        <w:tc>
          <w:tcPr>
            <w:tcW w:w="0" w:type="auto"/>
            <w:vAlign w:val="center"/>
            <w:hideMark/>
          </w:tcPr>
          <w:p w14:paraId="1458B52C" w14:textId="77777777" w:rsidR="00F0360B" w:rsidRPr="00F0360B" w:rsidRDefault="00F0360B" w:rsidP="00F0360B">
            <w:pPr>
              <w:rPr>
                <w:b/>
                <w:color w:val="EE0000"/>
              </w:rPr>
            </w:pPr>
            <w:r w:rsidRPr="00F0360B">
              <w:rPr>
                <w:b/>
                <w:color w:val="EE0000"/>
              </w:rPr>
              <w:t>Μαθησιακή επίδοση μαθητών</w:t>
            </w:r>
          </w:p>
        </w:tc>
        <w:tc>
          <w:tcPr>
            <w:tcW w:w="0" w:type="auto"/>
            <w:vAlign w:val="center"/>
            <w:hideMark/>
          </w:tcPr>
          <w:p w14:paraId="2A2B2497" w14:textId="77777777" w:rsidR="00F0360B" w:rsidRPr="00F0360B" w:rsidRDefault="00F0360B" w:rsidP="00F0360B">
            <w:pPr>
              <w:rPr>
                <w:b/>
                <w:color w:val="EE0000"/>
              </w:rPr>
            </w:pPr>
            <w:r w:rsidRPr="00F0360B">
              <w:rPr>
                <w:b/>
                <w:color w:val="EE0000"/>
              </w:rPr>
              <w:t>3,32</w:t>
            </w:r>
          </w:p>
        </w:tc>
        <w:tc>
          <w:tcPr>
            <w:tcW w:w="0" w:type="auto"/>
            <w:vAlign w:val="center"/>
            <w:hideMark/>
          </w:tcPr>
          <w:p w14:paraId="542772E5" w14:textId="77777777" w:rsidR="00F0360B" w:rsidRPr="00F0360B" w:rsidRDefault="00F0360B" w:rsidP="00F0360B">
            <w:pPr>
              <w:rPr>
                <w:b/>
                <w:color w:val="EE0000"/>
              </w:rPr>
            </w:pPr>
            <w:r w:rsidRPr="00F0360B">
              <w:rPr>
                <w:b/>
                <w:color w:val="EE0000"/>
              </w:rPr>
              <w:t>0,95</w:t>
            </w:r>
          </w:p>
        </w:tc>
        <w:tc>
          <w:tcPr>
            <w:tcW w:w="0" w:type="auto"/>
            <w:vAlign w:val="center"/>
            <w:hideMark/>
          </w:tcPr>
          <w:p w14:paraId="086FA452" w14:textId="77777777" w:rsidR="00F0360B" w:rsidRPr="00F0360B" w:rsidRDefault="00F0360B" w:rsidP="00F0360B">
            <w:pPr>
              <w:rPr>
                <w:b/>
                <w:color w:val="EE0000"/>
              </w:rPr>
            </w:pPr>
            <w:r w:rsidRPr="00F0360B">
              <w:rPr>
                <w:b/>
                <w:color w:val="EE0000"/>
              </w:rPr>
              <w:t>[3,08 – 3,56]</w:t>
            </w:r>
          </w:p>
        </w:tc>
      </w:tr>
      <w:tr w:rsidR="00F0360B" w:rsidRPr="00F0360B" w14:paraId="09804C8B" w14:textId="77777777" w:rsidTr="00F0360B">
        <w:trPr>
          <w:tblCellSpacing w:w="15" w:type="dxa"/>
          <w:jc w:val="center"/>
        </w:trPr>
        <w:tc>
          <w:tcPr>
            <w:tcW w:w="0" w:type="auto"/>
            <w:vAlign w:val="center"/>
            <w:hideMark/>
          </w:tcPr>
          <w:p w14:paraId="0F8BD9DB" w14:textId="77777777" w:rsidR="00F0360B" w:rsidRPr="00F0360B" w:rsidRDefault="00F0360B" w:rsidP="00F0360B">
            <w:pPr>
              <w:rPr>
                <w:b/>
                <w:color w:val="EE0000"/>
              </w:rPr>
            </w:pPr>
            <w:r w:rsidRPr="00F0360B">
              <w:rPr>
                <w:b/>
                <w:color w:val="EE0000"/>
              </w:rPr>
              <w:t>Ισότητα στην εκπαίδευση</w:t>
            </w:r>
          </w:p>
        </w:tc>
        <w:tc>
          <w:tcPr>
            <w:tcW w:w="0" w:type="auto"/>
            <w:vAlign w:val="center"/>
            <w:hideMark/>
          </w:tcPr>
          <w:p w14:paraId="03314E20" w14:textId="77777777" w:rsidR="00F0360B" w:rsidRPr="00F0360B" w:rsidRDefault="00F0360B" w:rsidP="00F0360B">
            <w:pPr>
              <w:rPr>
                <w:b/>
                <w:color w:val="EE0000"/>
              </w:rPr>
            </w:pPr>
            <w:r w:rsidRPr="00F0360B">
              <w:rPr>
                <w:b/>
                <w:color w:val="EE0000"/>
              </w:rPr>
              <w:t>3,30</w:t>
            </w:r>
          </w:p>
        </w:tc>
        <w:tc>
          <w:tcPr>
            <w:tcW w:w="0" w:type="auto"/>
            <w:vAlign w:val="center"/>
            <w:hideMark/>
          </w:tcPr>
          <w:p w14:paraId="158ED182" w14:textId="77777777" w:rsidR="00F0360B" w:rsidRPr="00F0360B" w:rsidRDefault="00F0360B" w:rsidP="00F0360B">
            <w:pPr>
              <w:rPr>
                <w:b/>
                <w:color w:val="EE0000"/>
              </w:rPr>
            </w:pPr>
            <w:r w:rsidRPr="00F0360B">
              <w:rPr>
                <w:b/>
                <w:color w:val="EE0000"/>
              </w:rPr>
              <w:t>1,02</w:t>
            </w:r>
          </w:p>
        </w:tc>
        <w:tc>
          <w:tcPr>
            <w:tcW w:w="0" w:type="auto"/>
            <w:vAlign w:val="center"/>
            <w:hideMark/>
          </w:tcPr>
          <w:p w14:paraId="23081E54" w14:textId="77777777" w:rsidR="00F0360B" w:rsidRPr="00F0360B" w:rsidRDefault="00F0360B" w:rsidP="00F0360B">
            <w:pPr>
              <w:rPr>
                <w:b/>
                <w:color w:val="EE0000"/>
              </w:rPr>
            </w:pPr>
            <w:r w:rsidRPr="00F0360B">
              <w:rPr>
                <w:b/>
                <w:color w:val="EE0000"/>
              </w:rPr>
              <w:t>[3,04 – 3,56]</w:t>
            </w:r>
          </w:p>
        </w:tc>
      </w:tr>
    </w:tbl>
    <w:p w14:paraId="19CA26F8" w14:textId="67936B10" w:rsidR="00675457" w:rsidRDefault="00193859" w:rsidP="00F0360B">
      <w:pPr>
        <w:pStyle w:val="a3"/>
        <w:spacing w:before="240"/>
        <w:ind w:left="0"/>
        <w:jc w:val="center"/>
        <w:rPr>
          <w:b/>
        </w:rPr>
      </w:pPr>
      <w:bookmarkStart w:id="4" w:name="_Hlk218497067"/>
      <w:r>
        <w:rPr>
          <w:b/>
        </w:rPr>
        <w:t>Πίνακας</w:t>
      </w:r>
      <w:r>
        <w:rPr>
          <w:b/>
          <w:spacing w:val="-4"/>
        </w:rPr>
        <w:t xml:space="preserve"> </w:t>
      </w:r>
      <w:r w:rsidR="00EC6DC9">
        <w:rPr>
          <w:b/>
        </w:rPr>
        <w:t>4</w:t>
      </w:r>
      <w:r>
        <w:rPr>
          <w:b/>
        </w:rPr>
        <w:t>.</w:t>
      </w:r>
      <w:r>
        <w:rPr>
          <w:b/>
          <w:spacing w:val="-3"/>
        </w:rPr>
        <w:t xml:space="preserve"> </w:t>
      </w:r>
      <w:r>
        <w:rPr>
          <w:b/>
        </w:rPr>
        <w:t>Αντιλήψεις</w:t>
      </w:r>
      <w:r>
        <w:rPr>
          <w:b/>
          <w:spacing w:val="-4"/>
        </w:rPr>
        <w:t xml:space="preserve"> </w:t>
      </w:r>
      <w:r>
        <w:rPr>
          <w:b/>
        </w:rPr>
        <w:t>των</w:t>
      </w:r>
      <w:r>
        <w:rPr>
          <w:b/>
          <w:spacing w:val="-4"/>
        </w:rPr>
        <w:t xml:space="preserve"> </w:t>
      </w:r>
      <w:r>
        <w:rPr>
          <w:b/>
        </w:rPr>
        <w:t>καθηγητών</w:t>
      </w:r>
      <w:r w:rsidRPr="001B13DC">
        <w:t xml:space="preserve"> </w:t>
      </w:r>
      <w:r w:rsidRPr="001B13DC">
        <w:rPr>
          <w:b/>
          <w:bCs/>
        </w:rPr>
        <w:t xml:space="preserve">για </w:t>
      </w:r>
      <w:r>
        <w:rPr>
          <w:b/>
          <w:bCs/>
        </w:rPr>
        <w:t xml:space="preserve">την </w:t>
      </w:r>
      <w:r w:rsidRPr="00E8722D">
        <w:rPr>
          <w:b/>
        </w:rPr>
        <w:t xml:space="preserve">Επίδραση </w:t>
      </w:r>
      <w:r>
        <w:rPr>
          <w:b/>
        </w:rPr>
        <w:t xml:space="preserve">του Πολλαπλού Βιβλίου </w:t>
      </w:r>
      <w:r w:rsidRPr="00E8722D">
        <w:rPr>
          <w:b/>
        </w:rPr>
        <w:t>στη διδασκαλία και στη μαθησιακή διαδικασία</w:t>
      </w:r>
    </w:p>
    <w:bookmarkEnd w:id="4"/>
    <w:p w14:paraId="25813406" w14:textId="77777777" w:rsidR="00F0360B" w:rsidRPr="00F0360B" w:rsidRDefault="00F0360B" w:rsidP="00EC6DC9">
      <w:pPr>
        <w:pStyle w:val="a3"/>
        <w:spacing w:before="1"/>
        <w:ind w:left="0"/>
        <w:jc w:val="both"/>
        <w:rPr>
          <w:spacing w:val="-2"/>
        </w:rPr>
      </w:pPr>
    </w:p>
    <w:p w14:paraId="5BEEA971" w14:textId="77777777" w:rsidR="00F0360B" w:rsidRPr="00F0360B" w:rsidRDefault="00F0360B" w:rsidP="00F0360B">
      <w:pPr>
        <w:pStyle w:val="a3"/>
        <w:spacing w:before="1"/>
        <w:ind w:left="0" w:firstLine="284"/>
        <w:jc w:val="both"/>
        <w:rPr>
          <w:color w:val="EE0000"/>
          <w:spacing w:val="-2"/>
        </w:rPr>
      </w:pPr>
      <w:r w:rsidRPr="00F0360B">
        <w:rPr>
          <w:color w:val="EE0000"/>
          <w:spacing w:val="-2"/>
        </w:rPr>
        <w:t>Η ανάλυση δείχνει ότι οι συμμετέχοντες αποτιμούν θετικά τη συμβολή του θεσμού στην ενίσχυση της επαγγελματικής τους αυτονομίας (Μ.Ο.=3,77) και στη συνολική ποιότητα της διδακτικής διαδικασίας (Μ.Ο.=3,65). Οι αντιλήψεις αυτές ευθυγραμμίζονται με τις θέσεις των Ball &amp; Forzani (2021), οι οποίοι τονίζουν ότι η πρόσβαση σε πολλαπλές πηγές επιτρέπει στον εκπαιδευτικό να λειτουργεί ως σχεδιαστής της μάθησης και όχι ως απλός εκτελεστής ενός προκαθορισμένου εγχειριδίου.</w:t>
      </w:r>
    </w:p>
    <w:p w14:paraId="2AE56880" w14:textId="111B35E1" w:rsidR="00E8722D" w:rsidRPr="00F0360B" w:rsidRDefault="00F0360B" w:rsidP="00F0360B">
      <w:pPr>
        <w:pStyle w:val="a3"/>
        <w:spacing w:before="1"/>
        <w:ind w:left="0" w:firstLine="284"/>
        <w:jc w:val="both"/>
        <w:rPr>
          <w:color w:val="EE0000"/>
          <w:spacing w:val="-2"/>
        </w:rPr>
      </w:pPr>
      <w:r w:rsidRPr="00F0360B">
        <w:rPr>
          <w:color w:val="EE0000"/>
          <w:spacing w:val="-2"/>
        </w:rPr>
        <w:t>Ωστόσο, η επίδραση στη μαθησιακή επίδοση (Μ.Ο.=3,32) και στην ισότητα στην εκπαίδευση (Μ.Ο.=3,30) αξιολογείται πιο συγκρατημένα. Η μεγαλύτερη τυπική απόκλιση στην μεταβλητή της ισότητας (SD=1,02) υποδηλώνει μια αξιοσημείωτη ανομοιογένεια στις απόψεις, η οποία πιθανώς αντανακλά ανησυχίες για το κατά πόσο η διαχείριση πολλαπλών πηγών ενδέχεται να ευνοεί τους μαθητές με υψηλότερο πολιτισμικό κεφάλαιο, επιτείνοντας τις εκπαιδευτικές ανισότητες (OECD, 2020). Συνολικά, ενώ ο θεσμός αναγνωρίζεται ως εργαλείο επαγγελματικής ενδυνάμωσης, οι εκπαιδευτικοί παραμένουν επιφυλακτικοί για τη δυνατότητά του να βελτιώσει άμεσα τα μαθησιακά αποτελέσματα χωρίς τις απαραίτητες υποστηρικτικές δομές.</w:t>
      </w:r>
    </w:p>
    <w:p w14:paraId="4E916BFD" w14:textId="77777777" w:rsidR="00A3096A" w:rsidRPr="00F0360B" w:rsidRDefault="00A3096A" w:rsidP="00663751">
      <w:pPr>
        <w:pStyle w:val="a3"/>
        <w:spacing w:before="1"/>
        <w:jc w:val="both"/>
        <w:rPr>
          <w:color w:val="EE0000"/>
          <w:spacing w:val="-2"/>
        </w:rPr>
      </w:pPr>
    </w:p>
    <w:p w14:paraId="504BD145" w14:textId="5F819F33" w:rsidR="00261010" w:rsidRPr="001F6038" w:rsidRDefault="00261010" w:rsidP="00663751">
      <w:pPr>
        <w:pStyle w:val="a3"/>
        <w:spacing w:before="1"/>
        <w:jc w:val="both"/>
        <w:rPr>
          <w:spacing w:val="-2"/>
        </w:rPr>
        <w:sectPr w:rsidR="00261010" w:rsidRPr="001F6038" w:rsidSect="00AF7E7E">
          <w:headerReference w:type="default" r:id="rId11"/>
          <w:footerReference w:type="default" r:id="rId12"/>
          <w:type w:val="continuous"/>
          <w:pgSz w:w="11910" w:h="16840"/>
          <w:pgMar w:top="980" w:right="1700" w:bottom="1300" w:left="1559" w:header="709" w:footer="1111" w:gutter="0"/>
          <w:cols w:space="720"/>
        </w:sectPr>
      </w:pPr>
    </w:p>
    <w:p w14:paraId="6E9D09A2" w14:textId="77777777" w:rsidR="00A3096A" w:rsidRDefault="00000000" w:rsidP="00261010">
      <w:pPr>
        <w:spacing w:before="109"/>
        <w:ind w:firstLine="284"/>
        <w:jc w:val="both"/>
        <w:rPr>
          <w:i/>
        </w:rPr>
      </w:pPr>
      <w:r>
        <w:rPr>
          <w:i/>
        </w:rPr>
        <w:t>Αποτελέσματα</w:t>
      </w:r>
      <w:r>
        <w:rPr>
          <w:i/>
          <w:spacing w:val="-9"/>
        </w:rPr>
        <w:t xml:space="preserve"> </w:t>
      </w:r>
      <w:r>
        <w:rPr>
          <w:i/>
        </w:rPr>
        <w:t>ανά</w:t>
      </w:r>
      <w:r>
        <w:rPr>
          <w:i/>
          <w:spacing w:val="-9"/>
        </w:rPr>
        <w:t xml:space="preserve"> </w:t>
      </w:r>
      <w:r>
        <w:rPr>
          <w:i/>
        </w:rPr>
        <w:t>Κλάδο</w:t>
      </w:r>
      <w:r>
        <w:rPr>
          <w:i/>
          <w:spacing w:val="-8"/>
        </w:rPr>
        <w:t xml:space="preserve"> </w:t>
      </w:r>
      <w:r>
        <w:rPr>
          <w:i/>
          <w:spacing w:val="-2"/>
        </w:rPr>
        <w:t>Εκπαιδευτικών</w:t>
      </w:r>
    </w:p>
    <w:p w14:paraId="04BB87C9" w14:textId="5561306D" w:rsidR="001F6038" w:rsidRPr="00375C39" w:rsidRDefault="00F0360B" w:rsidP="00E60F37">
      <w:pPr>
        <w:pStyle w:val="a3"/>
        <w:ind w:left="0" w:right="91" w:firstLine="284"/>
        <w:jc w:val="both"/>
        <w:rPr>
          <w:color w:val="EE0000"/>
        </w:rPr>
      </w:pPr>
      <w:r w:rsidRPr="00375C39">
        <w:rPr>
          <w:color w:val="EE0000"/>
        </w:rPr>
        <w:t>Στη συνέχεια, οι αποκρίσεις των συμμετεχόντων αναλύθηκαν με σκοπό να εξεταστεί η ύπαρξη πιθανών συσχετίσεων ανάμεσα στην ειδικότητα των εκπαιδευτικών και τις αντιλήψεις τους για το Πολλαπλό Βιβλίο. Η ανάλυση αυτή είχε ως στόχο να διερευνήσει κατά πόσο το γνωστικό αντικείμενο επηρεάζει την αξιολόγηση του θεσμού. Τα δεδομένα ομαδοποιήθηκαν ανά ειδικότητα και παρουσιάζονται στα Σχήματα 1, 2 και 3, τα οποία απεικονίζουν τις τάσεις για την επίδραση στη διδασκαλία, τις δυσκολίες εφαρμογής και την ποιότητα της μαθησιακής διαδικασίας.</w:t>
      </w:r>
    </w:p>
    <w:p w14:paraId="4711633C" w14:textId="77777777" w:rsidR="00375C39" w:rsidRDefault="00375C39" w:rsidP="00375C39">
      <w:pPr>
        <w:jc w:val="center"/>
        <w:rPr>
          <w:b/>
        </w:rPr>
      </w:pPr>
      <w:r>
        <w:rPr>
          <w:b/>
          <w:noProof/>
        </w:rPr>
        <w:drawing>
          <wp:inline distT="0" distB="0" distL="0" distR="0" wp14:anchorId="51D539BA" wp14:editId="73AE2C1E">
            <wp:extent cx="4504829" cy="2814089"/>
            <wp:effectExtent l="0" t="0" r="0" b="5715"/>
            <wp:docPr id="1706076923" name="Εικόνα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25047" cy="2826719"/>
                    </a:xfrm>
                    <a:prstGeom prst="rect">
                      <a:avLst/>
                    </a:prstGeom>
                    <a:noFill/>
                  </pic:spPr>
                </pic:pic>
              </a:graphicData>
            </a:graphic>
          </wp:inline>
        </w:drawing>
      </w:r>
    </w:p>
    <w:p w14:paraId="31FA2CBE" w14:textId="061A1F24" w:rsidR="009B2D04" w:rsidRPr="006F3CDF" w:rsidRDefault="00285DC7" w:rsidP="00375C39">
      <w:pPr>
        <w:jc w:val="center"/>
        <w:rPr>
          <w:b/>
        </w:rPr>
      </w:pPr>
      <w:r>
        <w:rPr>
          <w:b/>
        </w:rPr>
        <w:t>Σχήμα 1.</w:t>
      </w:r>
      <w:r w:rsidRPr="00D9627A">
        <w:rPr>
          <w:b/>
        </w:rPr>
        <w:t xml:space="preserve"> </w:t>
      </w:r>
      <w:r>
        <w:rPr>
          <w:b/>
        </w:rPr>
        <w:t>Αντιλήψεις</w:t>
      </w:r>
      <w:r>
        <w:rPr>
          <w:b/>
          <w:spacing w:val="-4"/>
        </w:rPr>
        <w:t xml:space="preserve"> </w:t>
      </w:r>
      <w:r>
        <w:rPr>
          <w:b/>
        </w:rPr>
        <w:t>των</w:t>
      </w:r>
      <w:r>
        <w:rPr>
          <w:b/>
          <w:spacing w:val="-4"/>
        </w:rPr>
        <w:t xml:space="preserve"> </w:t>
      </w:r>
      <w:r>
        <w:rPr>
          <w:b/>
        </w:rPr>
        <w:t>καθηγητών</w:t>
      </w:r>
      <w:r w:rsidRPr="00742BB6">
        <w:t xml:space="preserve"> </w:t>
      </w:r>
      <w:r>
        <w:rPr>
          <w:b/>
        </w:rPr>
        <w:t>ανά Ειδικότητα</w:t>
      </w:r>
      <w:r w:rsidRPr="001F6038">
        <w:rPr>
          <w:b/>
        </w:rPr>
        <w:t xml:space="preserve"> </w:t>
      </w:r>
      <w:r w:rsidRPr="00742BB6">
        <w:rPr>
          <w:b/>
        </w:rPr>
        <w:t>για τ</w:t>
      </w:r>
      <w:r>
        <w:rPr>
          <w:b/>
        </w:rPr>
        <w:t>ην Επίδραση του</w:t>
      </w:r>
      <w:r w:rsidRPr="00742BB6">
        <w:rPr>
          <w:b/>
        </w:rPr>
        <w:t xml:space="preserve"> Πολλαπλ</w:t>
      </w:r>
      <w:r>
        <w:rPr>
          <w:b/>
        </w:rPr>
        <w:t>ού</w:t>
      </w:r>
      <w:r w:rsidRPr="00742BB6">
        <w:rPr>
          <w:b/>
        </w:rPr>
        <w:t xml:space="preserve"> Βιβλίο</w:t>
      </w:r>
      <w:r>
        <w:rPr>
          <w:b/>
        </w:rPr>
        <w:t>υ στη διδασκαλία</w:t>
      </w:r>
    </w:p>
    <w:p w14:paraId="32136DFB" w14:textId="77777777" w:rsidR="00D9627A" w:rsidRDefault="00D9627A" w:rsidP="00D9627A">
      <w:pPr>
        <w:ind w:left="544" w:right="113" w:hanging="1"/>
        <w:jc w:val="center"/>
        <w:rPr>
          <w:b/>
        </w:rPr>
      </w:pPr>
    </w:p>
    <w:p w14:paraId="7AA5103E" w14:textId="77777777" w:rsidR="0005472A" w:rsidRDefault="0005472A" w:rsidP="00D9627A">
      <w:pPr>
        <w:ind w:left="544" w:right="113" w:hanging="1"/>
        <w:jc w:val="center"/>
        <w:rPr>
          <w:b/>
        </w:rPr>
      </w:pPr>
    </w:p>
    <w:p w14:paraId="69158B60" w14:textId="59087E98" w:rsidR="00D9627A" w:rsidRDefault="00375C39" w:rsidP="00375C39">
      <w:pPr>
        <w:jc w:val="center"/>
      </w:pPr>
      <w:r w:rsidRPr="00375C39">
        <w:rPr>
          <w:noProof/>
        </w:rPr>
        <mc:AlternateContent>
          <mc:Choice Requires="wps">
            <w:drawing>
              <wp:inline distT="0" distB="0" distL="0" distR="0" wp14:anchorId="157C1F26" wp14:editId="372FC0FB">
                <wp:extent cx="304800" cy="304800"/>
                <wp:effectExtent l="0" t="0" r="0" b="0"/>
                <wp:docPr id="576278230" name="Ορθογώνιο 10" descr="Εικόνα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B04F515" id="Ορθογώνιο 10" o:spid="_x0000_s1026" alt="Εικόνα "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Pr>
          <w:noProof/>
        </w:rPr>
        <mc:AlternateContent>
          <mc:Choice Requires="wps">
            <w:drawing>
              <wp:inline distT="0" distB="0" distL="0" distR="0" wp14:anchorId="533203C1" wp14:editId="40C6DEFA">
                <wp:extent cx="304800" cy="304800"/>
                <wp:effectExtent l="0" t="0" r="0" b="0"/>
                <wp:docPr id="425104337" name="AutoShape 4" descr="Εικόνα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F774221" id="AutoShape 4" o:spid="_x0000_s1026" alt="Εικόνα "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Pr>
          <w:noProof/>
        </w:rPr>
        <mc:AlternateContent>
          <mc:Choice Requires="wps">
            <w:drawing>
              <wp:inline distT="0" distB="0" distL="0" distR="0" wp14:anchorId="7DCF1F13" wp14:editId="0DE817FD">
                <wp:extent cx="304800" cy="304800"/>
                <wp:effectExtent l="0" t="0" r="0" b="0"/>
                <wp:docPr id="1564257668" name="AutoShape 2" descr="Εικόνα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B6E77DB" id="AutoShape 2" o:spid="_x0000_s1026" alt="Εικόνα "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375C39">
        <w:rPr>
          <w:noProof/>
        </w:rPr>
        <mc:AlternateContent>
          <mc:Choice Requires="wps">
            <w:drawing>
              <wp:inline distT="0" distB="0" distL="0" distR="0" wp14:anchorId="144EB538" wp14:editId="750EA721">
                <wp:extent cx="304800" cy="304800"/>
                <wp:effectExtent l="0" t="0" r="0" b="0"/>
                <wp:docPr id="1284068057" name="Ορθογώνιο 11" descr="Εικόνα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7223547" id="Ορθογώνιο 11" o:spid="_x0000_s1026" alt="Εικόνα "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Pr>
          <w:noProof/>
        </w:rPr>
        <w:lastRenderedPageBreak/>
        <w:drawing>
          <wp:inline distT="0" distB="0" distL="0" distR="0" wp14:anchorId="2A09A4B6" wp14:editId="20587EF4">
            <wp:extent cx="4443730" cy="2777332"/>
            <wp:effectExtent l="0" t="0" r="0" b="4445"/>
            <wp:docPr id="16797913" name="Εικόνα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81087" cy="2800680"/>
                    </a:xfrm>
                    <a:prstGeom prst="rect">
                      <a:avLst/>
                    </a:prstGeom>
                    <a:noFill/>
                  </pic:spPr>
                </pic:pic>
              </a:graphicData>
            </a:graphic>
          </wp:inline>
        </w:drawing>
      </w:r>
    </w:p>
    <w:p w14:paraId="49618FF2" w14:textId="4BE79A9E" w:rsidR="00D9627A" w:rsidRPr="006F3CDF" w:rsidRDefault="00375C39" w:rsidP="00375C39">
      <w:pPr>
        <w:jc w:val="center"/>
      </w:pPr>
      <w:r w:rsidRPr="00375C39">
        <w:rPr>
          <w:noProof/>
        </w:rPr>
        <mc:AlternateContent>
          <mc:Choice Requires="wps">
            <w:drawing>
              <wp:inline distT="0" distB="0" distL="0" distR="0" wp14:anchorId="4F5CA612" wp14:editId="0145E6ED">
                <wp:extent cx="304800" cy="304800"/>
                <wp:effectExtent l="0" t="0" r="0" b="0"/>
                <wp:docPr id="1138447191" name="Ορθογώνιο 14" descr="Εικόνα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5982559" id="Ορθογώνιο 14" o:spid="_x0000_s1026" alt="Εικόνα "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285DC7">
        <w:rPr>
          <w:b/>
        </w:rPr>
        <w:t>Σχήμα 2.</w:t>
      </w:r>
      <w:r w:rsidR="00285DC7" w:rsidRPr="001F6038">
        <w:t xml:space="preserve"> </w:t>
      </w:r>
      <w:r w:rsidR="00285DC7" w:rsidRPr="001F6038">
        <w:rPr>
          <w:b/>
        </w:rPr>
        <w:t>Αντιλήψεις των καθηγητών</w:t>
      </w:r>
      <w:r w:rsidR="00285DC7" w:rsidRPr="001F6038">
        <w:t xml:space="preserve"> </w:t>
      </w:r>
      <w:r w:rsidR="00285DC7" w:rsidRPr="001F6038">
        <w:rPr>
          <w:b/>
        </w:rPr>
        <w:t xml:space="preserve">ανά Ειδικότητα για τις δυσκολίες </w:t>
      </w:r>
      <w:r w:rsidR="00285DC7">
        <w:rPr>
          <w:b/>
        </w:rPr>
        <w:t xml:space="preserve">και τα εμπόδια </w:t>
      </w:r>
      <w:r w:rsidR="00285DC7" w:rsidRPr="001F6038">
        <w:rPr>
          <w:b/>
        </w:rPr>
        <w:t>εφαρμογής</w:t>
      </w:r>
    </w:p>
    <w:p w14:paraId="58422414" w14:textId="77777777" w:rsidR="00E60F37" w:rsidRPr="00E33D14" w:rsidRDefault="00E60F37" w:rsidP="0091628B">
      <w:pPr>
        <w:ind w:left="544" w:right="113" w:hanging="1"/>
        <w:jc w:val="center"/>
        <w:rPr>
          <w:sz w:val="20"/>
        </w:rPr>
      </w:pPr>
    </w:p>
    <w:p w14:paraId="104AA199" w14:textId="1C68FD98" w:rsidR="00D9627A" w:rsidRPr="00D9627A" w:rsidRDefault="0005472A" w:rsidP="0091628B">
      <w:pPr>
        <w:jc w:val="center"/>
      </w:pPr>
      <w:r>
        <w:rPr>
          <w:noProof/>
        </w:rPr>
        <w:drawing>
          <wp:inline distT="0" distB="0" distL="0" distR="0" wp14:anchorId="41378BB3" wp14:editId="0587D723">
            <wp:extent cx="4257627" cy="2660404"/>
            <wp:effectExtent l="0" t="0" r="0" b="6985"/>
            <wp:docPr id="525991294" name="Εικόνα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267892" cy="2666818"/>
                    </a:xfrm>
                    <a:prstGeom prst="rect">
                      <a:avLst/>
                    </a:prstGeom>
                    <a:noFill/>
                  </pic:spPr>
                </pic:pic>
              </a:graphicData>
            </a:graphic>
          </wp:inline>
        </w:drawing>
      </w:r>
    </w:p>
    <w:p w14:paraId="0795574F" w14:textId="2169207B" w:rsidR="00135843" w:rsidRPr="006F3CDF" w:rsidRDefault="00285DC7" w:rsidP="00326BB4">
      <w:pPr>
        <w:spacing w:before="240"/>
        <w:ind w:left="544" w:right="113"/>
        <w:jc w:val="center"/>
        <w:rPr>
          <w:b/>
        </w:rPr>
      </w:pPr>
      <w:r>
        <w:rPr>
          <w:b/>
        </w:rPr>
        <w:t>Σχήμα 3.</w:t>
      </w:r>
      <w:r w:rsidRPr="004A2E0C">
        <w:t xml:space="preserve"> </w:t>
      </w:r>
      <w:r w:rsidRPr="004A2E0C">
        <w:rPr>
          <w:b/>
        </w:rPr>
        <w:t>Αντιλήψεις των καθηγητών ανά Ειδικότητα</w:t>
      </w:r>
      <w:r>
        <w:rPr>
          <w:b/>
        </w:rPr>
        <w:t xml:space="preserve"> για την Επίδραση του Πολλαπλού Βιβλίου στην Ποιότητα της διδασκαλίας και στην Επίδοση των μαθητών</w:t>
      </w:r>
    </w:p>
    <w:p w14:paraId="3FAC0CF8" w14:textId="77777777" w:rsidR="00326BB4" w:rsidRDefault="00326BB4" w:rsidP="00326BB4">
      <w:pPr>
        <w:pStyle w:val="a3"/>
        <w:ind w:right="91" w:firstLine="284"/>
        <w:jc w:val="both"/>
      </w:pPr>
    </w:p>
    <w:p w14:paraId="53742B2F" w14:textId="77777777" w:rsidR="00326BB4" w:rsidRPr="001D2E34" w:rsidRDefault="00326BB4" w:rsidP="00326BB4">
      <w:pPr>
        <w:pStyle w:val="a3"/>
        <w:ind w:left="0" w:right="91" w:firstLine="284"/>
        <w:jc w:val="both"/>
        <w:rPr>
          <w:color w:val="EE0000"/>
        </w:rPr>
      </w:pPr>
      <w:r w:rsidRPr="001D2E34">
        <w:rPr>
          <w:color w:val="EE0000"/>
        </w:rPr>
        <w:t>Η διερεύνηση των αποκρίσεων με βάση την ειδικότητα των εκπαιδευτικών αποσκοπούσε στον εντοπισμό πιθανών συσχετίσεων ανάμεσα στο γνωστικό αντικείμενο και τις αντιλήψεις για το Πολλαπλό Βιβλίο. Από την επεξεργασία των δεδομένων προκύπτει μια αξιοσημείωτη ομοιογένεια στις απαντήσεις, καθώς δεν διαφαίνονται ουσιαστικές διαφοροποιήσεις μεταξύ των εκπαιδευτικών διαφορετικών κλάδων, όπως οι Ανθρωπιστικές, οι Θετικές και οι Τεχνικές επιστήμες. Οι τάσεις που καταγράφονται δείχνουν ότι η αντίληψη για την παιδαγωγική αξία του θεσμού παραμένει συγκρίσιμη σε όλο το δείγμα, γεγονός που υποδηλώνει ότι το Πολλαπλό Βιβλίο αντιμετωπίζεται ως ένα εργαλείο οριζόντιας εφαρμογής που υπερβαίνει τα στενά όρια των επιμέρους ειδικοτήτων. Αυτή η απουσία έντονων αποκλίσεων μπορεί να ερμηνευτεί στη βάση ενός κοινού παιδαγωγικού προσανατολισμού που διέπει τη σύγχρονη διδακτική πράξη, η οποία εστιάζει πλέον σε διεπιστημονικές προσεγγίσεις και στη διαφοροποιημένη διδασκαλία.</w:t>
      </w:r>
    </w:p>
    <w:p w14:paraId="6563EB36" w14:textId="47D9CFC7" w:rsidR="00326BB4" w:rsidRPr="001D2E34" w:rsidRDefault="00326BB4" w:rsidP="00326BB4">
      <w:pPr>
        <w:pStyle w:val="a3"/>
        <w:ind w:left="0" w:right="91" w:firstLine="284"/>
        <w:jc w:val="both"/>
        <w:rPr>
          <w:color w:val="EE0000"/>
        </w:rPr>
      </w:pPr>
      <w:r w:rsidRPr="001D2E34">
        <w:rPr>
          <w:color w:val="EE0000"/>
        </w:rPr>
        <w:t xml:space="preserve">Παράλληλα, η ομοιομορφία αυτή αντικατοπτρίζει το γεγονός ότι οι εκπαιδευτικοί, ανεξαρτήτως ειδικότητας, έρχονται αντιμέτωποι με κοινές δομικές προκλήσεις, όπως οι υλικοτεχνικές ελλείψεις και η ανάγκη για συστηματική επιμόρφωση. Πρέπει να επισημανθεί ότι </w:t>
      </w:r>
      <w:r w:rsidRPr="001D2E34">
        <w:rPr>
          <w:color w:val="EE0000"/>
        </w:rPr>
        <w:lastRenderedPageBreak/>
        <w:t xml:space="preserve">τυχόν μικρές διακυμάνσεις που παρατηρούνται στα διαγράμματα δεν κρίνονται ως στατιστικά σημαντικές και δεν τεκμηριώνουν σχέσεις αιτιότητας, αλλά περιορίζονται στην καταγραφή συσχετίσεων που αναδεικνύουν μια καθολική αποδοχή της λειτουργικότητας του θεσμού. Επιπλέον, η σύγκλιση των απόψεων ενδέχεται να επηρεάζεται από το φαινόμενο της μεροληψίας κοινής μεθόδου (common-method bias), καθώς η συλλογή των δεδομένων έγινε αποκλειστικά μέσω ερωτηματολογίων αυτο-αναφοράς. Η διαπίστωση αυτή ενισχύει την ανάγκη για τον σχεδιασμό οριζόντιων και συμπεριληπτικών προγραμμάτων υποστήριξης, καθώς οι ανάγκες κατάρτισης φαίνεται να είναι κοινές για το σύνολο του εκπαιδευτικού σώματος. Συμπερασματικά, η αποτελεσματική ενσωμάτωση του Πολλαπλού Βιβλίου στην εκπαιδευτική διαδικασία συναρτάται περισσότερο με παραμέτρους όπως η υποδομή και η παιδαγωγική καθοδήγηση, παρά με τη συγκεκριμένη ειδικότητα των εκπαιδευτικών. </w:t>
      </w:r>
    </w:p>
    <w:p w14:paraId="3F408A66" w14:textId="77777777" w:rsidR="00326BB4" w:rsidRPr="001D2E34" w:rsidRDefault="00326BB4" w:rsidP="00326BB4">
      <w:pPr>
        <w:pStyle w:val="a3"/>
        <w:ind w:left="0" w:right="91" w:firstLine="284"/>
        <w:jc w:val="both"/>
        <w:rPr>
          <w:color w:val="EE0000"/>
        </w:rPr>
      </w:pPr>
    </w:p>
    <w:p w14:paraId="6AFF5E8D" w14:textId="77777777" w:rsidR="00B45AAE" w:rsidRDefault="00C571F9" w:rsidP="00B45AAE">
      <w:pPr>
        <w:pStyle w:val="a3"/>
        <w:spacing w:before="1"/>
        <w:ind w:left="0" w:firstLine="284"/>
        <w:jc w:val="both"/>
        <w:rPr>
          <w:i/>
          <w:iCs/>
        </w:rPr>
      </w:pPr>
      <w:r w:rsidRPr="00C571F9">
        <w:rPr>
          <w:i/>
          <w:iCs/>
        </w:rPr>
        <w:t>Αποτελέσματα ανά κατηγορία ετών προϋπηρεσίας</w:t>
      </w:r>
    </w:p>
    <w:p w14:paraId="741E13EB" w14:textId="7B8E92A0" w:rsidR="00B45AAE" w:rsidRDefault="00ED38E2" w:rsidP="00B45AAE">
      <w:pPr>
        <w:pStyle w:val="a3"/>
        <w:spacing w:before="1"/>
        <w:ind w:left="0" w:firstLine="284"/>
        <w:jc w:val="both"/>
        <w:rPr>
          <w:color w:val="EE0000"/>
          <w:spacing w:val="-2"/>
        </w:rPr>
      </w:pPr>
      <w:r w:rsidRPr="00ED38E2">
        <w:rPr>
          <w:color w:val="EE0000"/>
          <w:spacing w:val="-2"/>
        </w:rPr>
        <w:t xml:space="preserve">Η διερεύνηση των αποκρίσεων των εκπαιδευτικών σε συνάρτηση με τη διδακτική τους εμπειρία αναδεικνύει ενδιαφέρουσες συσχετίσεις όσον αφορά την ετοιμότητα υιοθέτησης του Πολλαπλού Βιβλίου. Από την επεξεργασία των δεδομένων προκύπτει ότι η γενική στάση του δείγματος παραμένει θετική, ωστόσο παρατηρούνται διακυμάνσεις ανάλογα με το στάδιο της επαγγελματικής διαδρομής των συμμετεχόντων. Οι εκπαιδευτικοί με μικρότερη προϋπηρεσία, συγκεκριμένα στις κατηγορίες 0–5 και 6–10 έτη, εμφανίζουν μια τάση να αξιολογούν υψηλότερα την παιδαγωγική διάσταση του θεσμού, εκφράζοντας ισχυρότερη συμφωνία για τη συμβολή του στην ενίσχυση της κριτικής σκέψης και του πλουραλισμού. Η τάση αυτή αποτυπώνεται στον </w:t>
      </w:r>
      <w:r>
        <w:rPr>
          <w:color w:val="EE0000"/>
          <w:spacing w:val="-2"/>
        </w:rPr>
        <w:t>Π</w:t>
      </w:r>
      <w:r w:rsidRPr="00ED38E2">
        <w:rPr>
          <w:color w:val="EE0000"/>
          <w:spacing w:val="-2"/>
        </w:rPr>
        <w:t>ίνακα</w:t>
      </w:r>
      <w:r>
        <w:rPr>
          <w:color w:val="EE0000"/>
          <w:spacing w:val="-2"/>
        </w:rPr>
        <w:t xml:space="preserve"> </w:t>
      </w:r>
      <w:r w:rsidR="00EC6DC9">
        <w:rPr>
          <w:color w:val="EE0000"/>
          <w:spacing w:val="-2"/>
        </w:rPr>
        <w:t>5</w:t>
      </w:r>
      <w:r w:rsidRPr="00ED38E2">
        <w:rPr>
          <w:color w:val="EE0000"/>
          <w:spacing w:val="-2"/>
        </w:rPr>
        <w:t>, όπου καταγράφεται η βαθμιαία μείωση της παιδαγωγικής αισιοδοξίας καθώς αυξάνονται τα έτη εμπειρίας</w:t>
      </w:r>
      <w:r>
        <w:rPr>
          <w:color w:val="EE0000"/>
          <w:spacing w:val="-2"/>
        </w:rPr>
        <w:t>.</w:t>
      </w:r>
    </w:p>
    <w:p w14:paraId="3C35DD44" w14:textId="77777777" w:rsidR="00ED38E2" w:rsidRDefault="00ED38E2" w:rsidP="00B45AAE">
      <w:pPr>
        <w:pStyle w:val="a3"/>
        <w:spacing w:before="1"/>
        <w:ind w:left="0" w:firstLine="284"/>
        <w:jc w:val="both"/>
        <w:rPr>
          <w:color w:val="EE0000"/>
          <w:spacing w:val="-2"/>
        </w:rPr>
      </w:pP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806"/>
        <w:gridCol w:w="2189"/>
        <w:gridCol w:w="1545"/>
        <w:gridCol w:w="1551"/>
        <w:gridCol w:w="1560"/>
      </w:tblGrid>
      <w:tr w:rsidR="00ED38E2" w:rsidRPr="00ED38E2" w14:paraId="2CE6656D" w14:textId="77777777" w:rsidTr="00ED38E2">
        <w:trPr>
          <w:tblHeader/>
          <w:tblCellSpacing w:w="15" w:type="dxa"/>
        </w:trPr>
        <w:tc>
          <w:tcPr>
            <w:tcW w:w="0" w:type="auto"/>
            <w:vAlign w:val="center"/>
            <w:hideMark/>
          </w:tcPr>
          <w:p w14:paraId="7C383CE9" w14:textId="77777777" w:rsidR="00ED38E2" w:rsidRPr="00ED38E2" w:rsidRDefault="00ED38E2" w:rsidP="000547B3">
            <w:pPr>
              <w:pStyle w:val="a3"/>
              <w:spacing w:before="1"/>
              <w:ind w:firstLine="284"/>
              <w:rPr>
                <w:b/>
                <w:bCs/>
                <w:color w:val="EE0000"/>
                <w:spacing w:val="-2"/>
              </w:rPr>
            </w:pPr>
            <w:r w:rsidRPr="00ED38E2">
              <w:rPr>
                <w:b/>
                <w:bCs/>
                <w:color w:val="EE0000"/>
                <w:spacing w:val="-2"/>
              </w:rPr>
              <w:t>Έτη Προϋπηρεσίας</w:t>
            </w:r>
          </w:p>
        </w:tc>
        <w:tc>
          <w:tcPr>
            <w:tcW w:w="0" w:type="auto"/>
            <w:vAlign w:val="center"/>
            <w:hideMark/>
          </w:tcPr>
          <w:p w14:paraId="1485AF35" w14:textId="77777777" w:rsidR="00ED38E2" w:rsidRPr="00ED38E2" w:rsidRDefault="00ED38E2" w:rsidP="000547B3">
            <w:pPr>
              <w:pStyle w:val="a3"/>
              <w:spacing w:before="1"/>
              <w:ind w:firstLine="284"/>
              <w:rPr>
                <w:b/>
                <w:bCs/>
                <w:color w:val="EE0000"/>
                <w:spacing w:val="-2"/>
              </w:rPr>
            </w:pPr>
            <w:r w:rsidRPr="00ED38E2">
              <w:rPr>
                <w:b/>
                <w:bCs/>
                <w:color w:val="EE0000"/>
                <w:spacing w:val="-2"/>
              </w:rPr>
              <w:t>Παιδαγωγική Ελευθερία (Μ.Ο.)</w:t>
            </w:r>
          </w:p>
        </w:tc>
        <w:tc>
          <w:tcPr>
            <w:tcW w:w="0" w:type="auto"/>
            <w:vAlign w:val="center"/>
            <w:hideMark/>
          </w:tcPr>
          <w:p w14:paraId="679F41C5" w14:textId="77777777" w:rsidR="00ED38E2" w:rsidRPr="00ED38E2" w:rsidRDefault="00ED38E2" w:rsidP="000547B3">
            <w:pPr>
              <w:pStyle w:val="a3"/>
              <w:spacing w:before="1"/>
              <w:ind w:firstLine="284"/>
              <w:rPr>
                <w:b/>
                <w:bCs/>
                <w:color w:val="EE0000"/>
                <w:spacing w:val="-2"/>
              </w:rPr>
            </w:pPr>
            <w:r w:rsidRPr="00ED38E2">
              <w:rPr>
                <w:b/>
                <w:bCs/>
                <w:color w:val="EE0000"/>
                <w:spacing w:val="-2"/>
              </w:rPr>
              <w:t>Τυπική Απόκλιση (SD)</w:t>
            </w:r>
          </w:p>
        </w:tc>
        <w:tc>
          <w:tcPr>
            <w:tcW w:w="0" w:type="auto"/>
            <w:vAlign w:val="center"/>
            <w:hideMark/>
          </w:tcPr>
          <w:p w14:paraId="63AB0146" w14:textId="77777777" w:rsidR="00ED38E2" w:rsidRPr="00ED38E2" w:rsidRDefault="00ED38E2" w:rsidP="000547B3">
            <w:pPr>
              <w:pStyle w:val="a3"/>
              <w:spacing w:before="1"/>
              <w:ind w:firstLine="284"/>
              <w:rPr>
                <w:b/>
                <w:bCs/>
                <w:color w:val="EE0000"/>
                <w:spacing w:val="-2"/>
              </w:rPr>
            </w:pPr>
            <w:r w:rsidRPr="00ED38E2">
              <w:rPr>
                <w:b/>
                <w:bCs/>
                <w:color w:val="EE0000"/>
                <w:spacing w:val="-2"/>
              </w:rPr>
              <w:t>Κριτική Σκέψη (Μ.Ο.)</w:t>
            </w:r>
          </w:p>
        </w:tc>
        <w:tc>
          <w:tcPr>
            <w:tcW w:w="0" w:type="auto"/>
            <w:vAlign w:val="center"/>
            <w:hideMark/>
          </w:tcPr>
          <w:p w14:paraId="325CCB0C" w14:textId="77777777" w:rsidR="00ED38E2" w:rsidRPr="00ED38E2" w:rsidRDefault="00ED38E2" w:rsidP="000547B3">
            <w:pPr>
              <w:pStyle w:val="a3"/>
              <w:spacing w:before="1"/>
              <w:ind w:firstLine="284"/>
              <w:rPr>
                <w:b/>
                <w:bCs/>
                <w:color w:val="EE0000"/>
                <w:spacing w:val="-2"/>
              </w:rPr>
            </w:pPr>
            <w:r w:rsidRPr="00ED38E2">
              <w:rPr>
                <w:b/>
                <w:bCs/>
                <w:color w:val="EE0000"/>
                <w:spacing w:val="-2"/>
              </w:rPr>
              <w:t>Τυπική Απόκλιση (SD)</w:t>
            </w:r>
          </w:p>
        </w:tc>
      </w:tr>
      <w:tr w:rsidR="00ED38E2" w:rsidRPr="00ED38E2" w14:paraId="57900494" w14:textId="77777777" w:rsidTr="00ED38E2">
        <w:trPr>
          <w:tblCellSpacing w:w="15" w:type="dxa"/>
        </w:trPr>
        <w:tc>
          <w:tcPr>
            <w:tcW w:w="0" w:type="auto"/>
            <w:tcBorders>
              <w:top w:val="single" w:sz="4" w:space="0" w:color="auto"/>
              <w:bottom w:val="nil"/>
            </w:tcBorders>
            <w:vAlign w:val="center"/>
            <w:hideMark/>
          </w:tcPr>
          <w:p w14:paraId="1DCDC6D0" w14:textId="77777777" w:rsidR="00ED38E2" w:rsidRPr="00ED38E2" w:rsidRDefault="00ED38E2" w:rsidP="00ED38E2">
            <w:pPr>
              <w:pStyle w:val="a3"/>
              <w:spacing w:before="1"/>
              <w:ind w:firstLine="284"/>
              <w:jc w:val="both"/>
              <w:rPr>
                <w:color w:val="EE0000"/>
                <w:spacing w:val="-2"/>
              </w:rPr>
            </w:pPr>
            <w:r w:rsidRPr="00ED38E2">
              <w:rPr>
                <w:color w:val="EE0000"/>
                <w:spacing w:val="-2"/>
              </w:rPr>
              <w:t>0–10 έτη</w:t>
            </w:r>
          </w:p>
        </w:tc>
        <w:tc>
          <w:tcPr>
            <w:tcW w:w="0" w:type="auto"/>
            <w:tcBorders>
              <w:top w:val="single" w:sz="4" w:space="0" w:color="auto"/>
              <w:bottom w:val="nil"/>
            </w:tcBorders>
            <w:vAlign w:val="center"/>
            <w:hideMark/>
          </w:tcPr>
          <w:p w14:paraId="7A50E696" w14:textId="77777777" w:rsidR="00ED38E2" w:rsidRPr="00ED38E2" w:rsidRDefault="00ED38E2" w:rsidP="00ED38E2">
            <w:pPr>
              <w:pStyle w:val="a3"/>
              <w:spacing w:before="1"/>
              <w:ind w:firstLine="284"/>
              <w:jc w:val="both"/>
              <w:rPr>
                <w:color w:val="EE0000"/>
                <w:spacing w:val="-2"/>
              </w:rPr>
            </w:pPr>
            <w:r w:rsidRPr="00ED38E2">
              <w:rPr>
                <w:color w:val="EE0000"/>
                <w:spacing w:val="-2"/>
              </w:rPr>
              <w:t>4,15</w:t>
            </w:r>
          </w:p>
        </w:tc>
        <w:tc>
          <w:tcPr>
            <w:tcW w:w="0" w:type="auto"/>
            <w:tcBorders>
              <w:top w:val="single" w:sz="4" w:space="0" w:color="auto"/>
              <w:bottom w:val="nil"/>
            </w:tcBorders>
            <w:vAlign w:val="center"/>
            <w:hideMark/>
          </w:tcPr>
          <w:p w14:paraId="0CAAFE35" w14:textId="77777777" w:rsidR="00ED38E2" w:rsidRPr="00ED38E2" w:rsidRDefault="00ED38E2" w:rsidP="00ED38E2">
            <w:pPr>
              <w:pStyle w:val="a3"/>
              <w:spacing w:before="1"/>
              <w:ind w:firstLine="284"/>
              <w:jc w:val="both"/>
              <w:rPr>
                <w:color w:val="EE0000"/>
                <w:spacing w:val="-2"/>
              </w:rPr>
            </w:pPr>
            <w:r w:rsidRPr="00ED38E2">
              <w:rPr>
                <w:color w:val="EE0000"/>
                <w:spacing w:val="-2"/>
              </w:rPr>
              <w:t>0,65</w:t>
            </w:r>
          </w:p>
        </w:tc>
        <w:tc>
          <w:tcPr>
            <w:tcW w:w="0" w:type="auto"/>
            <w:tcBorders>
              <w:top w:val="single" w:sz="4" w:space="0" w:color="auto"/>
              <w:bottom w:val="nil"/>
            </w:tcBorders>
            <w:vAlign w:val="center"/>
            <w:hideMark/>
          </w:tcPr>
          <w:p w14:paraId="16E6F885" w14:textId="77777777" w:rsidR="00ED38E2" w:rsidRPr="00ED38E2" w:rsidRDefault="00ED38E2" w:rsidP="00ED38E2">
            <w:pPr>
              <w:pStyle w:val="a3"/>
              <w:spacing w:before="1"/>
              <w:ind w:firstLine="284"/>
              <w:jc w:val="both"/>
              <w:rPr>
                <w:color w:val="EE0000"/>
                <w:spacing w:val="-2"/>
              </w:rPr>
            </w:pPr>
            <w:r w:rsidRPr="00ED38E2">
              <w:rPr>
                <w:color w:val="EE0000"/>
                <w:spacing w:val="-2"/>
              </w:rPr>
              <w:t>3,90</w:t>
            </w:r>
          </w:p>
        </w:tc>
        <w:tc>
          <w:tcPr>
            <w:tcW w:w="0" w:type="auto"/>
            <w:tcBorders>
              <w:top w:val="single" w:sz="4" w:space="0" w:color="auto"/>
              <w:bottom w:val="nil"/>
            </w:tcBorders>
            <w:vAlign w:val="center"/>
            <w:hideMark/>
          </w:tcPr>
          <w:p w14:paraId="35D8C1CF" w14:textId="77777777" w:rsidR="00ED38E2" w:rsidRPr="00ED38E2" w:rsidRDefault="00ED38E2" w:rsidP="00ED38E2">
            <w:pPr>
              <w:pStyle w:val="a3"/>
              <w:spacing w:before="1"/>
              <w:ind w:firstLine="284"/>
              <w:jc w:val="both"/>
              <w:rPr>
                <w:color w:val="EE0000"/>
                <w:spacing w:val="-2"/>
              </w:rPr>
            </w:pPr>
            <w:r w:rsidRPr="00ED38E2">
              <w:rPr>
                <w:color w:val="EE0000"/>
                <w:spacing w:val="-2"/>
              </w:rPr>
              <w:t>0,72</w:t>
            </w:r>
          </w:p>
        </w:tc>
      </w:tr>
      <w:tr w:rsidR="00ED38E2" w:rsidRPr="00ED38E2" w14:paraId="6E1A56D4" w14:textId="77777777" w:rsidTr="00ED38E2">
        <w:trPr>
          <w:tblCellSpacing w:w="15" w:type="dxa"/>
        </w:trPr>
        <w:tc>
          <w:tcPr>
            <w:tcW w:w="0" w:type="auto"/>
            <w:vAlign w:val="center"/>
            <w:hideMark/>
          </w:tcPr>
          <w:p w14:paraId="4B0C8E90" w14:textId="77777777" w:rsidR="00ED38E2" w:rsidRPr="00ED38E2" w:rsidRDefault="00ED38E2" w:rsidP="00ED38E2">
            <w:pPr>
              <w:pStyle w:val="a3"/>
              <w:spacing w:before="1"/>
              <w:ind w:firstLine="284"/>
              <w:jc w:val="both"/>
              <w:rPr>
                <w:color w:val="EE0000"/>
                <w:spacing w:val="-2"/>
              </w:rPr>
            </w:pPr>
            <w:r w:rsidRPr="00ED38E2">
              <w:rPr>
                <w:color w:val="EE0000"/>
                <w:spacing w:val="-2"/>
              </w:rPr>
              <w:t>11–20 έτη</w:t>
            </w:r>
          </w:p>
        </w:tc>
        <w:tc>
          <w:tcPr>
            <w:tcW w:w="0" w:type="auto"/>
            <w:vAlign w:val="center"/>
            <w:hideMark/>
          </w:tcPr>
          <w:p w14:paraId="3BC5FA43" w14:textId="77777777" w:rsidR="00ED38E2" w:rsidRPr="00ED38E2" w:rsidRDefault="00ED38E2" w:rsidP="00ED38E2">
            <w:pPr>
              <w:pStyle w:val="a3"/>
              <w:spacing w:before="1"/>
              <w:ind w:firstLine="284"/>
              <w:jc w:val="both"/>
              <w:rPr>
                <w:color w:val="EE0000"/>
                <w:spacing w:val="-2"/>
              </w:rPr>
            </w:pPr>
            <w:r w:rsidRPr="00ED38E2">
              <w:rPr>
                <w:color w:val="EE0000"/>
                <w:spacing w:val="-2"/>
              </w:rPr>
              <w:t>3,92</w:t>
            </w:r>
          </w:p>
        </w:tc>
        <w:tc>
          <w:tcPr>
            <w:tcW w:w="0" w:type="auto"/>
            <w:vAlign w:val="center"/>
            <w:hideMark/>
          </w:tcPr>
          <w:p w14:paraId="351EAEE9" w14:textId="77777777" w:rsidR="00ED38E2" w:rsidRPr="00ED38E2" w:rsidRDefault="00ED38E2" w:rsidP="00ED38E2">
            <w:pPr>
              <w:pStyle w:val="a3"/>
              <w:spacing w:before="1"/>
              <w:ind w:firstLine="284"/>
              <w:jc w:val="both"/>
              <w:rPr>
                <w:color w:val="EE0000"/>
                <w:spacing w:val="-2"/>
              </w:rPr>
            </w:pPr>
            <w:r w:rsidRPr="00ED38E2">
              <w:rPr>
                <w:color w:val="EE0000"/>
                <w:spacing w:val="-2"/>
              </w:rPr>
              <w:t>0,78</w:t>
            </w:r>
          </w:p>
        </w:tc>
        <w:tc>
          <w:tcPr>
            <w:tcW w:w="0" w:type="auto"/>
            <w:vAlign w:val="center"/>
            <w:hideMark/>
          </w:tcPr>
          <w:p w14:paraId="752900ED" w14:textId="77777777" w:rsidR="00ED38E2" w:rsidRPr="00ED38E2" w:rsidRDefault="00ED38E2" w:rsidP="00ED38E2">
            <w:pPr>
              <w:pStyle w:val="a3"/>
              <w:spacing w:before="1"/>
              <w:ind w:firstLine="284"/>
              <w:jc w:val="both"/>
              <w:rPr>
                <w:color w:val="EE0000"/>
                <w:spacing w:val="-2"/>
              </w:rPr>
            </w:pPr>
            <w:r w:rsidRPr="00ED38E2">
              <w:rPr>
                <w:color w:val="EE0000"/>
                <w:spacing w:val="-2"/>
              </w:rPr>
              <w:t>3,75</w:t>
            </w:r>
          </w:p>
        </w:tc>
        <w:tc>
          <w:tcPr>
            <w:tcW w:w="0" w:type="auto"/>
            <w:vAlign w:val="center"/>
            <w:hideMark/>
          </w:tcPr>
          <w:p w14:paraId="41156D99" w14:textId="77777777" w:rsidR="00ED38E2" w:rsidRPr="00ED38E2" w:rsidRDefault="00ED38E2" w:rsidP="00ED38E2">
            <w:pPr>
              <w:pStyle w:val="a3"/>
              <w:spacing w:before="1"/>
              <w:ind w:firstLine="284"/>
              <w:jc w:val="both"/>
              <w:rPr>
                <w:color w:val="EE0000"/>
                <w:spacing w:val="-2"/>
              </w:rPr>
            </w:pPr>
            <w:r w:rsidRPr="00ED38E2">
              <w:rPr>
                <w:color w:val="EE0000"/>
                <w:spacing w:val="-2"/>
              </w:rPr>
              <w:t>0,81</w:t>
            </w:r>
          </w:p>
        </w:tc>
      </w:tr>
      <w:tr w:rsidR="00ED38E2" w:rsidRPr="00ED38E2" w14:paraId="05BEADA2" w14:textId="77777777" w:rsidTr="00ED38E2">
        <w:trPr>
          <w:tblCellSpacing w:w="15" w:type="dxa"/>
        </w:trPr>
        <w:tc>
          <w:tcPr>
            <w:tcW w:w="0" w:type="auto"/>
            <w:vAlign w:val="center"/>
            <w:hideMark/>
          </w:tcPr>
          <w:p w14:paraId="0381F177" w14:textId="77777777" w:rsidR="00ED38E2" w:rsidRPr="00ED38E2" w:rsidRDefault="00ED38E2" w:rsidP="00ED38E2">
            <w:pPr>
              <w:pStyle w:val="a3"/>
              <w:spacing w:before="1"/>
              <w:ind w:firstLine="284"/>
              <w:jc w:val="both"/>
              <w:rPr>
                <w:color w:val="EE0000"/>
                <w:spacing w:val="-2"/>
              </w:rPr>
            </w:pPr>
            <w:r w:rsidRPr="00ED38E2">
              <w:rPr>
                <w:color w:val="EE0000"/>
                <w:spacing w:val="-2"/>
              </w:rPr>
              <w:t>21+ έτη</w:t>
            </w:r>
          </w:p>
        </w:tc>
        <w:tc>
          <w:tcPr>
            <w:tcW w:w="0" w:type="auto"/>
            <w:vAlign w:val="center"/>
            <w:hideMark/>
          </w:tcPr>
          <w:p w14:paraId="2B190BD1" w14:textId="77777777" w:rsidR="00ED38E2" w:rsidRPr="00ED38E2" w:rsidRDefault="00ED38E2" w:rsidP="00ED38E2">
            <w:pPr>
              <w:pStyle w:val="a3"/>
              <w:spacing w:before="1"/>
              <w:ind w:firstLine="284"/>
              <w:jc w:val="both"/>
              <w:rPr>
                <w:color w:val="EE0000"/>
                <w:spacing w:val="-2"/>
              </w:rPr>
            </w:pPr>
            <w:r w:rsidRPr="00ED38E2">
              <w:rPr>
                <w:color w:val="EE0000"/>
                <w:spacing w:val="-2"/>
              </w:rPr>
              <w:t>3,85</w:t>
            </w:r>
          </w:p>
        </w:tc>
        <w:tc>
          <w:tcPr>
            <w:tcW w:w="0" w:type="auto"/>
            <w:vAlign w:val="center"/>
            <w:hideMark/>
          </w:tcPr>
          <w:p w14:paraId="7AE7237E" w14:textId="77777777" w:rsidR="00ED38E2" w:rsidRPr="00ED38E2" w:rsidRDefault="00ED38E2" w:rsidP="00ED38E2">
            <w:pPr>
              <w:pStyle w:val="a3"/>
              <w:spacing w:before="1"/>
              <w:ind w:firstLine="284"/>
              <w:jc w:val="both"/>
              <w:rPr>
                <w:color w:val="EE0000"/>
                <w:spacing w:val="-2"/>
              </w:rPr>
            </w:pPr>
            <w:r w:rsidRPr="00ED38E2">
              <w:rPr>
                <w:color w:val="EE0000"/>
                <w:spacing w:val="-2"/>
              </w:rPr>
              <w:t>0,85</w:t>
            </w:r>
          </w:p>
        </w:tc>
        <w:tc>
          <w:tcPr>
            <w:tcW w:w="0" w:type="auto"/>
            <w:vAlign w:val="center"/>
            <w:hideMark/>
          </w:tcPr>
          <w:p w14:paraId="10499F6C" w14:textId="77777777" w:rsidR="00ED38E2" w:rsidRPr="00ED38E2" w:rsidRDefault="00ED38E2" w:rsidP="00ED38E2">
            <w:pPr>
              <w:pStyle w:val="a3"/>
              <w:spacing w:before="1"/>
              <w:ind w:firstLine="284"/>
              <w:jc w:val="both"/>
              <w:rPr>
                <w:color w:val="EE0000"/>
                <w:spacing w:val="-2"/>
              </w:rPr>
            </w:pPr>
            <w:r w:rsidRPr="00ED38E2">
              <w:rPr>
                <w:color w:val="EE0000"/>
                <w:spacing w:val="-2"/>
              </w:rPr>
              <w:t>3,55</w:t>
            </w:r>
          </w:p>
        </w:tc>
        <w:tc>
          <w:tcPr>
            <w:tcW w:w="0" w:type="auto"/>
            <w:vAlign w:val="center"/>
            <w:hideMark/>
          </w:tcPr>
          <w:p w14:paraId="7375B571" w14:textId="77777777" w:rsidR="00ED38E2" w:rsidRPr="00ED38E2" w:rsidRDefault="00ED38E2" w:rsidP="00ED38E2">
            <w:pPr>
              <w:pStyle w:val="a3"/>
              <w:spacing w:before="1"/>
              <w:ind w:firstLine="284"/>
              <w:jc w:val="both"/>
              <w:rPr>
                <w:color w:val="EE0000"/>
                <w:spacing w:val="-2"/>
              </w:rPr>
            </w:pPr>
            <w:r w:rsidRPr="00ED38E2">
              <w:rPr>
                <w:color w:val="EE0000"/>
                <w:spacing w:val="-2"/>
              </w:rPr>
              <w:t>0,88</w:t>
            </w:r>
          </w:p>
        </w:tc>
      </w:tr>
    </w:tbl>
    <w:p w14:paraId="59790C2F" w14:textId="223041C6" w:rsidR="000547B3" w:rsidRPr="00EC6DC9" w:rsidRDefault="000547B3" w:rsidP="000547B3">
      <w:pPr>
        <w:pStyle w:val="a3"/>
        <w:spacing w:before="240"/>
        <w:ind w:left="0"/>
        <w:jc w:val="center"/>
        <w:rPr>
          <w:b/>
          <w:color w:val="EE0000"/>
        </w:rPr>
      </w:pPr>
      <w:r w:rsidRPr="00EC6DC9">
        <w:rPr>
          <w:b/>
          <w:color w:val="EE0000"/>
        </w:rPr>
        <w:t>Πίνακας</w:t>
      </w:r>
      <w:r w:rsidRPr="00EC6DC9">
        <w:rPr>
          <w:b/>
          <w:color w:val="EE0000"/>
          <w:spacing w:val="-4"/>
        </w:rPr>
        <w:t xml:space="preserve"> </w:t>
      </w:r>
      <w:r w:rsidR="00EC6DC9" w:rsidRPr="00EC6DC9">
        <w:rPr>
          <w:b/>
          <w:color w:val="EE0000"/>
        </w:rPr>
        <w:t>5</w:t>
      </w:r>
      <w:r w:rsidRPr="00EC6DC9">
        <w:rPr>
          <w:b/>
          <w:color w:val="EE0000"/>
        </w:rPr>
        <w:t>.</w:t>
      </w:r>
      <w:r w:rsidRPr="00EC6DC9">
        <w:rPr>
          <w:b/>
          <w:color w:val="EE0000"/>
          <w:spacing w:val="-3"/>
        </w:rPr>
        <w:t xml:space="preserve"> </w:t>
      </w:r>
      <w:r w:rsidRPr="00EC6DC9">
        <w:rPr>
          <w:b/>
          <w:color w:val="EE0000"/>
        </w:rPr>
        <w:t>Καταγραφή μέσων όρων και τυπικών αποκλίσεων για τις παιδαγωγικές παραμέτρους ανά ομάδα προϋπηρεσίας</w:t>
      </w:r>
    </w:p>
    <w:p w14:paraId="5B6FF073" w14:textId="77777777" w:rsidR="000547B3" w:rsidRPr="00EC6DC9" w:rsidRDefault="000547B3" w:rsidP="000547B3">
      <w:pPr>
        <w:pStyle w:val="a3"/>
        <w:spacing w:before="240"/>
        <w:ind w:left="0"/>
        <w:jc w:val="center"/>
        <w:rPr>
          <w:b/>
          <w:color w:val="EE0000"/>
        </w:rPr>
      </w:pPr>
    </w:p>
    <w:p w14:paraId="76549818" w14:textId="142BD337" w:rsidR="00B45AAE" w:rsidRDefault="000547B3" w:rsidP="00B45AAE">
      <w:pPr>
        <w:pStyle w:val="a3"/>
        <w:spacing w:before="1"/>
        <w:ind w:left="0" w:firstLine="284"/>
        <w:jc w:val="both"/>
        <w:rPr>
          <w:color w:val="EE0000"/>
          <w:spacing w:val="-2"/>
        </w:rPr>
      </w:pPr>
      <w:r w:rsidRPr="000547B3">
        <w:rPr>
          <w:color w:val="EE0000"/>
          <w:spacing w:val="-2"/>
        </w:rPr>
        <w:t xml:space="preserve">Η παραπάνω διαφοροποίηση ενδέχεται να αντικατοπτρίζει μια αυξημένη διάθεση για πειραματισμό από την πλευρά των νεότερων εκπαιδευτικών, οι οποίοι βρίσκονται ακόμη στη φάση της διαμόρφωσης της επαγγελματικής τους ταυτότητας. Στον αντίποδα, οι εκπαιδευτικοί με πολυετή εμπειρία, ιδιαίτερα όσοι υπερβαίνουν τα 21 έτη υπηρεσίας, εμφανίζονται συγκριτικά πιο συγκρατημένοι στις εκτιμήσεις τους. Παρόλο που αναγνωρίζουν τη θεωρητική αξία της παιδαγωγικής ελευθερίας, αποδίδουν στατιστικά μεγαλύτερη έμφαση στα δομικά εμπόδια, όπως οι ελλείψεις στις υλικοτεχνικές υποδομές και ο περιορισμένος χρόνος για την προετοιμασία εναλλακτικών διδακτικών σεναρίων. Οι ρεαλιστικοί αυτοί προβληματισμοί παρουσιάζονται συγκεντρωτικά </w:t>
      </w:r>
      <w:r>
        <w:rPr>
          <w:color w:val="EE0000"/>
          <w:spacing w:val="-2"/>
        </w:rPr>
        <w:t xml:space="preserve">στον Πίνακα </w:t>
      </w:r>
      <w:r w:rsidR="00EC6DC9">
        <w:rPr>
          <w:color w:val="EE0000"/>
          <w:spacing w:val="-2"/>
        </w:rPr>
        <w:t>6</w:t>
      </w:r>
      <w:r w:rsidRPr="000547B3">
        <w:rPr>
          <w:color w:val="EE0000"/>
          <w:spacing w:val="-2"/>
        </w:rPr>
        <w:t>, αναδεικνύοντας τη στατιστική αύξηση της ανησυχίας για τις υποδομές στις μεγαλύτερες ηλικιακές ομάδες</w:t>
      </w:r>
      <w:r>
        <w:rPr>
          <w:color w:val="EE0000"/>
          <w:spacing w:val="-2"/>
        </w:rPr>
        <w:t>.</w:t>
      </w:r>
    </w:p>
    <w:p w14:paraId="6A1A9AF1" w14:textId="77777777" w:rsidR="000547B3" w:rsidRDefault="000547B3" w:rsidP="00B45AAE">
      <w:pPr>
        <w:pStyle w:val="a3"/>
        <w:spacing w:before="1"/>
        <w:ind w:left="0" w:firstLine="284"/>
        <w:jc w:val="both"/>
        <w:rPr>
          <w:color w:val="EE0000"/>
          <w:spacing w:val="-2"/>
        </w:rPr>
      </w:pP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762"/>
        <w:gridCol w:w="2089"/>
        <w:gridCol w:w="1454"/>
        <w:gridCol w:w="1877"/>
        <w:gridCol w:w="1469"/>
      </w:tblGrid>
      <w:tr w:rsidR="000547B3" w:rsidRPr="000547B3" w14:paraId="10FFCA26" w14:textId="77777777" w:rsidTr="000547B3">
        <w:trPr>
          <w:tblHeader/>
          <w:tblCellSpacing w:w="15" w:type="dxa"/>
        </w:trPr>
        <w:tc>
          <w:tcPr>
            <w:tcW w:w="0" w:type="auto"/>
            <w:vAlign w:val="center"/>
            <w:hideMark/>
          </w:tcPr>
          <w:p w14:paraId="721EC7E0" w14:textId="77777777" w:rsidR="000547B3" w:rsidRPr="000547B3" w:rsidRDefault="000547B3" w:rsidP="000547B3">
            <w:pPr>
              <w:pStyle w:val="a3"/>
              <w:spacing w:before="1"/>
              <w:ind w:firstLine="284"/>
              <w:jc w:val="both"/>
              <w:rPr>
                <w:b/>
                <w:bCs/>
                <w:color w:val="EE0000"/>
                <w:spacing w:val="-2"/>
              </w:rPr>
            </w:pPr>
            <w:r w:rsidRPr="000547B3">
              <w:rPr>
                <w:b/>
                <w:bCs/>
                <w:color w:val="EE0000"/>
                <w:spacing w:val="-2"/>
              </w:rPr>
              <w:t>Έτη Προϋπηρεσίας</w:t>
            </w:r>
          </w:p>
        </w:tc>
        <w:tc>
          <w:tcPr>
            <w:tcW w:w="0" w:type="auto"/>
            <w:vAlign w:val="center"/>
            <w:hideMark/>
          </w:tcPr>
          <w:p w14:paraId="21E6CD12" w14:textId="77777777" w:rsidR="000547B3" w:rsidRPr="000547B3" w:rsidRDefault="000547B3" w:rsidP="000547B3">
            <w:pPr>
              <w:pStyle w:val="a3"/>
              <w:spacing w:before="1"/>
              <w:ind w:firstLine="284"/>
              <w:jc w:val="both"/>
              <w:rPr>
                <w:b/>
                <w:bCs/>
                <w:color w:val="EE0000"/>
                <w:spacing w:val="-2"/>
              </w:rPr>
            </w:pPr>
            <w:r w:rsidRPr="000547B3">
              <w:rPr>
                <w:b/>
                <w:bCs/>
                <w:color w:val="EE0000"/>
                <w:spacing w:val="-2"/>
              </w:rPr>
              <w:t>Υλικοτεχνικές Ελλείψεις (Μ.Ο.)</w:t>
            </w:r>
          </w:p>
        </w:tc>
        <w:tc>
          <w:tcPr>
            <w:tcW w:w="0" w:type="auto"/>
            <w:vAlign w:val="center"/>
            <w:hideMark/>
          </w:tcPr>
          <w:p w14:paraId="2E55E636" w14:textId="77777777" w:rsidR="000547B3" w:rsidRPr="000547B3" w:rsidRDefault="000547B3" w:rsidP="000547B3">
            <w:pPr>
              <w:pStyle w:val="a3"/>
              <w:spacing w:before="1"/>
              <w:ind w:firstLine="284"/>
              <w:jc w:val="both"/>
              <w:rPr>
                <w:b/>
                <w:bCs/>
                <w:color w:val="EE0000"/>
                <w:spacing w:val="-2"/>
              </w:rPr>
            </w:pPr>
            <w:r w:rsidRPr="000547B3">
              <w:rPr>
                <w:b/>
                <w:bCs/>
                <w:color w:val="EE0000"/>
                <w:spacing w:val="-2"/>
              </w:rPr>
              <w:t>Τυπική Απόκλιση (SD)</w:t>
            </w:r>
          </w:p>
        </w:tc>
        <w:tc>
          <w:tcPr>
            <w:tcW w:w="0" w:type="auto"/>
            <w:vAlign w:val="center"/>
            <w:hideMark/>
          </w:tcPr>
          <w:p w14:paraId="306D61B6" w14:textId="77777777" w:rsidR="000547B3" w:rsidRPr="000547B3" w:rsidRDefault="000547B3" w:rsidP="000547B3">
            <w:pPr>
              <w:pStyle w:val="a3"/>
              <w:spacing w:before="1"/>
              <w:ind w:firstLine="284"/>
              <w:jc w:val="both"/>
              <w:rPr>
                <w:b/>
                <w:bCs/>
                <w:color w:val="EE0000"/>
                <w:spacing w:val="-2"/>
              </w:rPr>
            </w:pPr>
            <w:r w:rsidRPr="000547B3">
              <w:rPr>
                <w:b/>
                <w:bCs/>
                <w:color w:val="EE0000"/>
                <w:spacing w:val="-2"/>
              </w:rPr>
              <w:t>Έλλειψη Επιμόρφωσης (Μ.Ο.)</w:t>
            </w:r>
          </w:p>
        </w:tc>
        <w:tc>
          <w:tcPr>
            <w:tcW w:w="0" w:type="auto"/>
            <w:vAlign w:val="center"/>
            <w:hideMark/>
          </w:tcPr>
          <w:p w14:paraId="6F4A5084" w14:textId="77777777" w:rsidR="000547B3" w:rsidRPr="000547B3" w:rsidRDefault="000547B3" w:rsidP="000547B3">
            <w:pPr>
              <w:pStyle w:val="a3"/>
              <w:spacing w:before="1"/>
              <w:ind w:firstLine="284"/>
              <w:jc w:val="both"/>
              <w:rPr>
                <w:b/>
                <w:bCs/>
                <w:color w:val="EE0000"/>
                <w:spacing w:val="-2"/>
              </w:rPr>
            </w:pPr>
            <w:r w:rsidRPr="000547B3">
              <w:rPr>
                <w:b/>
                <w:bCs/>
                <w:color w:val="EE0000"/>
                <w:spacing w:val="-2"/>
              </w:rPr>
              <w:t>Τυπική Απόκλιση (SD)</w:t>
            </w:r>
          </w:p>
        </w:tc>
      </w:tr>
      <w:tr w:rsidR="000547B3" w:rsidRPr="000547B3" w14:paraId="790F4757" w14:textId="77777777" w:rsidTr="000547B3">
        <w:trPr>
          <w:tblCellSpacing w:w="15" w:type="dxa"/>
        </w:trPr>
        <w:tc>
          <w:tcPr>
            <w:tcW w:w="0" w:type="auto"/>
            <w:tcBorders>
              <w:top w:val="single" w:sz="4" w:space="0" w:color="auto"/>
              <w:bottom w:val="nil"/>
            </w:tcBorders>
            <w:vAlign w:val="center"/>
            <w:hideMark/>
          </w:tcPr>
          <w:p w14:paraId="3FFAC063" w14:textId="77777777" w:rsidR="000547B3" w:rsidRPr="000547B3" w:rsidRDefault="000547B3" w:rsidP="000547B3">
            <w:pPr>
              <w:pStyle w:val="a3"/>
              <w:spacing w:before="1"/>
              <w:ind w:firstLine="284"/>
              <w:jc w:val="both"/>
              <w:rPr>
                <w:color w:val="EE0000"/>
                <w:spacing w:val="-2"/>
              </w:rPr>
            </w:pPr>
            <w:r w:rsidRPr="000547B3">
              <w:rPr>
                <w:color w:val="EE0000"/>
                <w:spacing w:val="-2"/>
              </w:rPr>
              <w:t>0–10 έτη</w:t>
            </w:r>
          </w:p>
        </w:tc>
        <w:tc>
          <w:tcPr>
            <w:tcW w:w="0" w:type="auto"/>
            <w:tcBorders>
              <w:top w:val="single" w:sz="4" w:space="0" w:color="auto"/>
              <w:bottom w:val="nil"/>
            </w:tcBorders>
            <w:vAlign w:val="center"/>
            <w:hideMark/>
          </w:tcPr>
          <w:p w14:paraId="11B372BB" w14:textId="77777777" w:rsidR="000547B3" w:rsidRPr="000547B3" w:rsidRDefault="000547B3" w:rsidP="000547B3">
            <w:pPr>
              <w:pStyle w:val="a3"/>
              <w:spacing w:before="1"/>
              <w:ind w:firstLine="284"/>
              <w:jc w:val="both"/>
              <w:rPr>
                <w:color w:val="EE0000"/>
                <w:spacing w:val="-2"/>
              </w:rPr>
            </w:pPr>
            <w:r w:rsidRPr="000547B3">
              <w:rPr>
                <w:color w:val="EE0000"/>
                <w:spacing w:val="-2"/>
              </w:rPr>
              <w:t>3,95</w:t>
            </w:r>
          </w:p>
        </w:tc>
        <w:tc>
          <w:tcPr>
            <w:tcW w:w="0" w:type="auto"/>
            <w:tcBorders>
              <w:top w:val="single" w:sz="4" w:space="0" w:color="auto"/>
              <w:bottom w:val="nil"/>
            </w:tcBorders>
            <w:vAlign w:val="center"/>
            <w:hideMark/>
          </w:tcPr>
          <w:p w14:paraId="2C451E77" w14:textId="77777777" w:rsidR="000547B3" w:rsidRPr="000547B3" w:rsidRDefault="000547B3" w:rsidP="000547B3">
            <w:pPr>
              <w:pStyle w:val="a3"/>
              <w:spacing w:before="1"/>
              <w:ind w:firstLine="284"/>
              <w:jc w:val="both"/>
              <w:rPr>
                <w:color w:val="EE0000"/>
                <w:spacing w:val="-2"/>
              </w:rPr>
            </w:pPr>
            <w:r w:rsidRPr="000547B3">
              <w:rPr>
                <w:color w:val="EE0000"/>
                <w:spacing w:val="-2"/>
              </w:rPr>
              <w:t>0,90</w:t>
            </w:r>
          </w:p>
        </w:tc>
        <w:tc>
          <w:tcPr>
            <w:tcW w:w="0" w:type="auto"/>
            <w:tcBorders>
              <w:top w:val="single" w:sz="4" w:space="0" w:color="auto"/>
              <w:bottom w:val="nil"/>
            </w:tcBorders>
            <w:vAlign w:val="center"/>
            <w:hideMark/>
          </w:tcPr>
          <w:p w14:paraId="72AE8D59" w14:textId="77777777" w:rsidR="000547B3" w:rsidRPr="000547B3" w:rsidRDefault="000547B3" w:rsidP="000547B3">
            <w:pPr>
              <w:pStyle w:val="a3"/>
              <w:spacing w:before="1"/>
              <w:ind w:firstLine="284"/>
              <w:jc w:val="both"/>
              <w:rPr>
                <w:color w:val="EE0000"/>
                <w:spacing w:val="-2"/>
              </w:rPr>
            </w:pPr>
            <w:r w:rsidRPr="000547B3">
              <w:rPr>
                <w:color w:val="EE0000"/>
                <w:spacing w:val="-2"/>
              </w:rPr>
              <w:t>4,05</w:t>
            </w:r>
          </w:p>
        </w:tc>
        <w:tc>
          <w:tcPr>
            <w:tcW w:w="0" w:type="auto"/>
            <w:tcBorders>
              <w:top w:val="single" w:sz="4" w:space="0" w:color="auto"/>
              <w:bottom w:val="nil"/>
            </w:tcBorders>
            <w:vAlign w:val="center"/>
            <w:hideMark/>
          </w:tcPr>
          <w:p w14:paraId="2D719288" w14:textId="77777777" w:rsidR="000547B3" w:rsidRPr="000547B3" w:rsidRDefault="000547B3" w:rsidP="000547B3">
            <w:pPr>
              <w:pStyle w:val="a3"/>
              <w:spacing w:before="1"/>
              <w:ind w:firstLine="284"/>
              <w:jc w:val="both"/>
              <w:rPr>
                <w:color w:val="EE0000"/>
                <w:spacing w:val="-2"/>
              </w:rPr>
            </w:pPr>
            <w:r w:rsidRPr="000547B3">
              <w:rPr>
                <w:color w:val="EE0000"/>
                <w:spacing w:val="-2"/>
              </w:rPr>
              <w:t>0,85</w:t>
            </w:r>
          </w:p>
        </w:tc>
      </w:tr>
      <w:tr w:rsidR="000547B3" w:rsidRPr="000547B3" w14:paraId="17D5AE77" w14:textId="77777777" w:rsidTr="000547B3">
        <w:trPr>
          <w:tblCellSpacing w:w="15" w:type="dxa"/>
        </w:trPr>
        <w:tc>
          <w:tcPr>
            <w:tcW w:w="0" w:type="auto"/>
            <w:vAlign w:val="center"/>
            <w:hideMark/>
          </w:tcPr>
          <w:p w14:paraId="5A30CFF0" w14:textId="77777777" w:rsidR="000547B3" w:rsidRPr="000547B3" w:rsidRDefault="000547B3" w:rsidP="000547B3">
            <w:pPr>
              <w:pStyle w:val="a3"/>
              <w:spacing w:before="1"/>
              <w:ind w:firstLine="284"/>
              <w:jc w:val="both"/>
              <w:rPr>
                <w:color w:val="EE0000"/>
                <w:spacing w:val="-2"/>
              </w:rPr>
            </w:pPr>
            <w:r w:rsidRPr="000547B3">
              <w:rPr>
                <w:color w:val="EE0000"/>
                <w:spacing w:val="-2"/>
              </w:rPr>
              <w:t>11–20 έτη</w:t>
            </w:r>
          </w:p>
        </w:tc>
        <w:tc>
          <w:tcPr>
            <w:tcW w:w="0" w:type="auto"/>
            <w:vAlign w:val="center"/>
            <w:hideMark/>
          </w:tcPr>
          <w:p w14:paraId="1DA6036E" w14:textId="77777777" w:rsidR="000547B3" w:rsidRPr="000547B3" w:rsidRDefault="000547B3" w:rsidP="000547B3">
            <w:pPr>
              <w:pStyle w:val="a3"/>
              <w:spacing w:before="1"/>
              <w:ind w:firstLine="284"/>
              <w:jc w:val="both"/>
              <w:rPr>
                <w:color w:val="EE0000"/>
                <w:spacing w:val="-2"/>
              </w:rPr>
            </w:pPr>
            <w:r w:rsidRPr="000547B3">
              <w:rPr>
                <w:color w:val="EE0000"/>
                <w:spacing w:val="-2"/>
              </w:rPr>
              <w:t>4,25</w:t>
            </w:r>
          </w:p>
        </w:tc>
        <w:tc>
          <w:tcPr>
            <w:tcW w:w="0" w:type="auto"/>
            <w:vAlign w:val="center"/>
            <w:hideMark/>
          </w:tcPr>
          <w:p w14:paraId="04DE5341" w14:textId="77777777" w:rsidR="000547B3" w:rsidRPr="000547B3" w:rsidRDefault="000547B3" w:rsidP="000547B3">
            <w:pPr>
              <w:pStyle w:val="a3"/>
              <w:spacing w:before="1"/>
              <w:ind w:firstLine="284"/>
              <w:jc w:val="both"/>
              <w:rPr>
                <w:color w:val="EE0000"/>
                <w:spacing w:val="-2"/>
              </w:rPr>
            </w:pPr>
            <w:r w:rsidRPr="000547B3">
              <w:rPr>
                <w:color w:val="EE0000"/>
                <w:spacing w:val="-2"/>
              </w:rPr>
              <w:t>0,75</w:t>
            </w:r>
          </w:p>
        </w:tc>
        <w:tc>
          <w:tcPr>
            <w:tcW w:w="0" w:type="auto"/>
            <w:vAlign w:val="center"/>
            <w:hideMark/>
          </w:tcPr>
          <w:p w14:paraId="602C923E" w14:textId="77777777" w:rsidR="000547B3" w:rsidRPr="000547B3" w:rsidRDefault="000547B3" w:rsidP="000547B3">
            <w:pPr>
              <w:pStyle w:val="a3"/>
              <w:spacing w:before="1"/>
              <w:ind w:firstLine="284"/>
              <w:jc w:val="both"/>
              <w:rPr>
                <w:color w:val="EE0000"/>
                <w:spacing w:val="-2"/>
              </w:rPr>
            </w:pPr>
            <w:r w:rsidRPr="000547B3">
              <w:rPr>
                <w:color w:val="EE0000"/>
                <w:spacing w:val="-2"/>
              </w:rPr>
              <w:t>4,15</w:t>
            </w:r>
          </w:p>
        </w:tc>
        <w:tc>
          <w:tcPr>
            <w:tcW w:w="0" w:type="auto"/>
            <w:vAlign w:val="center"/>
            <w:hideMark/>
          </w:tcPr>
          <w:p w14:paraId="28F3461E" w14:textId="77777777" w:rsidR="000547B3" w:rsidRPr="000547B3" w:rsidRDefault="000547B3" w:rsidP="000547B3">
            <w:pPr>
              <w:pStyle w:val="a3"/>
              <w:spacing w:before="1"/>
              <w:ind w:firstLine="284"/>
              <w:jc w:val="both"/>
              <w:rPr>
                <w:color w:val="EE0000"/>
                <w:spacing w:val="-2"/>
              </w:rPr>
            </w:pPr>
            <w:r w:rsidRPr="000547B3">
              <w:rPr>
                <w:color w:val="EE0000"/>
                <w:spacing w:val="-2"/>
              </w:rPr>
              <w:t>0,78</w:t>
            </w:r>
          </w:p>
        </w:tc>
      </w:tr>
      <w:tr w:rsidR="000547B3" w:rsidRPr="000547B3" w14:paraId="4A671EDC" w14:textId="77777777" w:rsidTr="000547B3">
        <w:trPr>
          <w:tblCellSpacing w:w="15" w:type="dxa"/>
        </w:trPr>
        <w:tc>
          <w:tcPr>
            <w:tcW w:w="0" w:type="auto"/>
            <w:vAlign w:val="center"/>
            <w:hideMark/>
          </w:tcPr>
          <w:p w14:paraId="7B92BC3B" w14:textId="77777777" w:rsidR="000547B3" w:rsidRPr="000547B3" w:rsidRDefault="000547B3" w:rsidP="000547B3">
            <w:pPr>
              <w:pStyle w:val="a3"/>
              <w:spacing w:before="1"/>
              <w:ind w:firstLine="284"/>
              <w:jc w:val="both"/>
              <w:rPr>
                <w:color w:val="EE0000"/>
                <w:spacing w:val="-2"/>
              </w:rPr>
            </w:pPr>
            <w:r w:rsidRPr="000547B3">
              <w:rPr>
                <w:color w:val="EE0000"/>
                <w:spacing w:val="-2"/>
              </w:rPr>
              <w:lastRenderedPageBreak/>
              <w:t>21+ έτη</w:t>
            </w:r>
          </w:p>
        </w:tc>
        <w:tc>
          <w:tcPr>
            <w:tcW w:w="0" w:type="auto"/>
            <w:vAlign w:val="center"/>
            <w:hideMark/>
          </w:tcPr>
          <w:p w14:paraId="474C1BB2" w14:textId="77777777" w:rsidR="000547B3" w:rsidRPr="000547B3" w:rsidRDefault="000547B3" w:rsidP="000547B3">
            <w:pPr>
              <w:pStyle w:val="a3"/>
              <w:spacing w:before="1"/>
              <w:ind w:firstLine="284"/>
              <w:jc w:val="both"/>
              <w:rPr>
                <w:color w:val="EE0000"/>
                <w:spacing w:val="-2"/>
              </w:rPr>
            </w:pPr>
            <w:r w:rsidRPr="000547B3">
              <w:rPr>
                <w:color w:val="EE0000"/>
                <w:spacing w:val="-2"/>
              </w:rPr>
              <w:t>4,55</w:t>
            </w:r>
          </w:p>
        </w:tc>
        <w:tc>
          <w:tcPr>
            <w:tcW w:w="0" w:type="auto"/>
            <w:vAlign w:val="center"/>
            <w:hideMark/>
          </w:tcPr>
          <w:p w14:paraId="4DCF43AB" w14:textId="77777777" w:rsidR="000547B3" w:rsidRPr="000547B3" w:rsidRDefault="000547B3" w:rsidP="000547B3">
            <w:pPr>
              <w:pStyle w:val="a3"/>
              <w:spacing w:before="1"/>
              <w:ind w:firstLine="284"/>
              <w:jc w:val="both"/>
              <w:rPr>
                <w:color w:val="EE0000"/>
                <w:spacing w:val="-2"/>
              </w:rPr>
            </w:pPr>
            <w:r w:rsidRPr="000547B3">
              <w:rPr>
                <w:color w:val="EE0000"/>
                <w:spacing w:val="-2"/>
              </w:rPr>
              <w:t>0,60</w:t>
            </w:r>
          </w:p>
        </w:tc>
        <w:tc>
          <w:tcPr>
            <w:tcW w:w="0" w:type="auto"/>
            <w:vAlign w:val="center"/>
            <w:hideMark/>
          </w:tcPr>
          <w:p w14:paraId="2363E651" w14:textId="77777777" w:rsidR="000547B3" w:rsidRPr="000547B3" w:rsidRDefault="000547B3" w:rsidP="000547B3">
            <w:pPr>
              <w:pStyle w:val="a3"/>
              <w:spacing w:before="1"/>
              <w:ind w:firstLine="284"/>
              <w:jc w:val="both"/>
              <w:rPr>
                <w:color w:val="EE0000"/>
                <w:spacing w:val="-2"/>
              </w:rPr>
            </w:pPr>
            <w:r w:rsidRPr="000547B3">
              <w:rPr>
                <w:color w:val="EE0000"/>
                <w:spacing w:val="-2"/>
              </w:rPr>
              <w:t>4,35</w:t>
            </w:r>
          </w:p>
        </w:tc>
        <w:tc>
          <w:tcPr>
            <w:tcW w:w="0" w:type="auto"/>
            <w:vAlign w:val="center"/>
            <w:hideMark/>
          </w:tcPr>
          <w:p w14:paraId="4A877A2E" w14:textId="77777777" w:rsidR="000547B3" w:rsidRPr="000547B3" w:rsidRDefault="000547B3" w:rsidP="000547B3">
            <w:pPr>
              <w:pStyle w:val="a3"/>
              <w:spacing w:before="1"/>
              <w:ind w:firstLine="284"/>
              <w:jc w:val="both"/>
              <w:rPr>
                <w:color w:val="EE0000"/>
                <w:spacing w:val="-2"/>
              </w:rPr>
            </w:pPr>
            <w:r w:rsidRPr="000547B3">
              <w:rPr>
                <w:color w:val="EE0000"/>
                <w:spacing w:val="-2"/>
              </w:rPr>
              <w:t>0,65</w:t>
            </w:r>
          </w:p>
        </w:tc>
      </w:tr>
    </w:tbl>
    <w:p w14:paraId="2A5EC627" w14:textId="7052AA83" w:rsidR="000547B3" w:rsidRDefault="000547B3" w:rsidP="00EC6DC9">
      <w:pPr>
        <w:pStyle w:val="a3"/>
        <w:spacing w:before="240"/>
        <w:ind w:left="0"/>
        <w:jc w:val="center"/>
        <w:rPr>
          <w:b/>
          <w:color w:val="EE0000"/>
        </w:rPr>
      </w:pPr>
      <w:r w:rsidRPr="00EC6DC9">
        <w:rPr>
          <w:b/>
          <w:color w:val="EE0000"/>
        </w:rPr>
        <w:t>Πίνακας</w:t>
      </w:r>
      <w:r w:rsidRPr="00EC6DC9">
        <w:rPr>
          <w:b/>
          <w:color w:val="EE0000"/>
          <w:spacing w:val="-4"/>
        </w:rPr>
        <w:t xml:space="preserve"> </w:t>
      </w:r>
      <w:r w:rsidR="00EC6DC9" w:rsidRPr="00EC6DC9">
        <w:rPr>
          <w:b/>
          <w:color w:val="EE0000"/>
        </w:rPr>
        <w:t>6</w:t>
      </w:r>
      <w:r w:rsidRPr="00EC6DC9">
        <w:rPr>
          <w:b/>
          <w:color w:val="EE0000"/>
        </w:rPr>
        <w:t>.</w:t>
      </w:r>
      <w:r w:rsidRPr="00EC6DC9">
        <w:rPr>
          <w:b/>
          <w:color w:val="EE0000"/>
          <w:spacing w:val="-3"/>
        </w:rPr>
        <w:t xml:space="preserve"> </w:t>
      </w:r>
      <w:r w:rsidRPr="00EC6DC9">
        <w:rPr>
          <w:b/>
          <w:color w:val="EE0000"/>
        </w:rPr>
        <w:t>Αξιολόγηση των εμποδίων εφαρμογής του Πολλαπλού Βιβλίου σε συνάρτηση με τη διδακτική εμπειρία</w:t>
      </w:r>
    </w:p>
    <w:p w14:paraId="59D15176" w14:textId="77777777" w:rsidR="00EC6DC9" w:rsidRPr="00EC6DC9" w:rsidRDefault="00EC6DC9" w:rsidP="00EC6DC9">
      <w:pPr>
        <w:pStyle w:val="a3"/>
        <w:spacing w:before="240"/>
        <w:ind w:left="0"/>
        <w:jc w:val="center"/>
        <w:rPr>
          <w:b/>
          <w:color w:val="EE0000"/>
        </w:rPr>
      </w:pPr>
    </w:p>
    <w:p w14:paraId="44DA1E68" w14:textId="4C60BA98" w:rsidR="00C571F9" w:rsidRDefault="000547B3" w:rsidP="00B45AAE">
      <w:pPr>
        <w:pStyle w:val="a3"/>
        <w:spacing w:before="1"/>
        <w:ind w:left="0" w:firstLine="284"/>
        <w:jc w:val="both"/>
        <w:rPr>
          <w:color w:val="EE0000"/>
          <w:spacing w:val="-2"/>
        </w:rPr>
      </w:pPr>
      <w:r w:rsidRPr="000547B3">
        <w:rPr>
          <w:color w:val="EE0000"/>
          <w:spacing w:val="-2"/>
        </w:rPr>
        <w:t>Είναι σημαντικό να τονιστεί, σύμφωνα και με τις υποδείξεις των κριτών, ότι οι παρατηρούμενες διαφοροποιήσεις καταγράφουν συσχετίσεις στάσεων και δεν τεκμηριώνουν σχέσεις αιτιότητας μεταξύ της προϋπηρεσίας και της διδακτικής αποτελεσματικότητας. Επιπλέον, η ομοιογένεια στις απαντήσεις σχετικά με την ποιότητα της διδασκαλίας και την αυτονομία του εκπαιδευτικού ενδέχεται να επηρεάζεται από το φαινόμενο της μεροληψίας κοινής μεθόδου (common-method bias), καθώς τα δεδομένα προέρχονται αποκλειστικά από εργαλεία αυτο-αναφοράς. Συμπερασματικά, η ανάλυση καταδεικνύει ότι ενώ οι νεότεροι εκπαιδευτικοί προσεγγίζουν την καινοτομία με μεγαλύτερο ενθουσιασμό, οι πιο έμπειροι αναδεικνύουν τις αναγκαίες δομικές προϋποθέσεις για την πρακτική της επιτυχία. Η επιτυχής ενσωμάτωση του θεσμού φαίνεται να απαιτεί μια ολιστική στρατηγική που θα συνδυάζει την παιδαγωγική ανανέωση με τη σταθερή υποστήριξη των υποδομών, ανεξάρτητα από το επίπεδο εμπειρίας του εκπαιδευτικού προσωπικού.</w:t>
      </w:r>
    </w:p>
    <w:p w14:paraId="2BA21802" w14:textId="77777777" w:rsidR="000547B3" w:rsidRPr="006F3CDF" w:rsidRDefault="000547B3" w:rsidP="00B45AAE">
      <w:pPr>
        <w:pStyle w:val="a3"/>
        <w:spacing w:before="1"/>
        <w:ind w:left="0" w:firstLine="284"/>
        <w:jc w:val="both"/>
        <w:rPr>
          <w:color w:val="EE0000"/>
          <w:spacing w:val="-2"/>
        </w:rPr>
      </w:pPr>
    </w:p>
    <w:p w14:paraId="29319917" w14:textId="77777777" w:rsidR="00B45AAE" w:rsidRPr="00B45AAE" w:rsidRDefault="00B45AAE" w:rsidP="00B45AAE">
      <w:pPr>
        <w:pStyle w:val="a3"/>
        <w:spacing w:before="1"/>
        <w:ind w:left="0" w:firstLine="284"/>
        <w:jc w:val="both"/>
        <w:rPr>
          <w:i/>
          <w:iCs/>
          <w:color w:val="EE0000"/>
        </w:rPr>
      </w:pPr>
    </w:p>
    <w:p w14:paraId="5B1B0697" w14:textId="390E8CB1" w:rsidR="000547B3" w:rsidRPr="004D1A1B" w:rsidRDefault="000547B3" w:rsidP="004D1A1B">
      <w:pPr>
        <w:ind w:firstLine="284"/>
        <w:jc w:val="both"/>
        <w:rPr>
          <w:b/>
          <w:bCs/>
        </w:rPr>
      </w:pPr>
      <w:r w:rsidRPr="000547B3">
        <w:rPr>
          <w:b/>
          <w:bCs/>
        </w:rPr>
        <w:t>Περιορισμοί και Αξιοπιστία της Έρευνας</w:t>
      </w:r>
    </w:p>
    <w:p w14:paraId="0E963865" w14:textId="255FB24C" w:rsidR="00DE66CC" w:rsidRPr="00DE66CC" w:rsidRDefault="00DE66CC" w:rsidP="00DE66CC">
      <w:pPr>
        <w:ind w:firstLine="284"/>
        <w:jc w:val="both"/>
        <w:rPr>
          <w:color w:val="EE0000"/>
        </w:rPr>
      </w:pPr>
      <w:r w:rsidRPr="00DE66CC">
        <w:rPr>
          <w:color w:val="EE0000"/>
        </w:rPr>
        <w:t>Παρά την ανάδειξη σημαντικών τάσεων, η παρούσα έρευνα υπόκειται σε ορισμένους περιορισμούς που πρέπει να ληφθούν υπόψη για την ορθή ερμηνεία των αποτελεσμάτων. Ο κύριος περιορισμός αφορά το μέγεθος του δείγματος (N=60), το οποίο αν και κρίνεται επαρκές για μια διερευνητική μελέτη (Cohen et al., 2007), δεν επιτρέπει την πλήρη γενίκευση των ευρημάτων στο σύνολο του εκπαιδευτικού πληθυσμού. Επιπλέον, σύμφωνα με τις επισημάνσεις των κριτών, αναγνωρίζεται η πιθανότητα εμφάνισης της μεροληψίας κοινής μεθόδου (Common-Method Bias), καθώς η συλλογή των δεδομένων πραγματοποιήθηκε αποκλειστικά μέσω ερωτηματολογίων αυτο-αναφοράς. Όπως επισημαίνουν οι Podsakoff κ.ά. (2003), η προσέγγιση αυτή ενδέχεται να οδηγεί σε τεχνητά διογκωμένες συσχετίσεις μεταξύ των μεταβλητών, καθώς οι συμμετέχοντες τείνουν να διατηρούν μια εσωτερική συνέπεια στις απαντήσεις τους προκειμένου να εμφανίζονται κοινωνικά αρεστοί ή γνωστικά συνεπείς.</w:t>
      </w:r>
    </w:p>
    <w:p w14:paraId="36D8B73B" w14:textId="33FE3297" w:rsidR="000547B3" w:rsidRPr="006F3CDF" w:rsidRDefault="00DE66CC" w:rsidP="00DE66CC">
      <w:pPr>
        <w:ind w:firstLine="284"/>
        <w:jc w:val="both"/>
        <w:rPr>
          <w:color w:val="EE0000"/>
        </w:rPr>
      </w:pPr>
      <w:r w:rsidRPr="00DE66CC">
        <w:rPr>
          <w:color w:val="EE0000"/>
        </w:rPr>
        <w:t>Για την αντιμετώπιση αυτών των περιορισμών και τη διασφάλιση της εσωτερικής συνοχής του εργαλείου μέτρησης, πραγματοποιήθηκε έλεγχος αξιοπιστίας με τη χρήση του δείκτη Cronbach’s Alpha. Τα αποτελέσματα έδειξαν υψηλή αξιοπιστία για το σύνολο των κλιμάκων, με τις τιμές να κυμαίνονται από 0,82 έως 0,89. Οι τιμές αυτές, υπερβαίνοντας το διεθνώς αποδεκτό όριο του 0,70 (Nunnally, 1978; Field, 2013), επιβεβαιώνουν ότι οι ερωτήσεις του ερωτηματολογίου μετρούν με συνέπεια τις υπό εξέταση έννοιες και ενισχύουν την εγκυρότητα των συμπερασμάτων που προκύπτουν από την παρούσα μελέτη.</w:t>
      </w:r>
      <w:r w:rsidR="000547B3" w:rsidRPr="000547B3">
        <w:rPr>
          <w:color w:val="EE0000"/>
        </w:rPr>
        <w:t>.</w:t>
      </w:r>
    </w:p>
    <w:p w14:paraId="5CECDAD8" w14:textId="77777777" w:rsidR="000547B3" w:rsidRPr="006F3CDF" w:rsidRDefault="000547B3" w:rsidP="000547B3">
      <w:pPr>
        <w:ind w:firstLine="284"/>
        <w:jc w:val="both"/>
        <w:rPr>
          <w:color w:val="EE0000"/>
        </w:rPr>
      </w:pPr>
    </w:p>
    <w:p w14:paraId="41AA6F21" w14:textId="77777777" w:rsidR="00C9359A" w:rsidRDefault="000547B3" w:rsidP="00C9359A">
      <w:pPr>
        <w:ind w:firstLine="284"/>
        <w:jc w:val="both"/>
        <w:rPr>
          <w:b/>
          <w:bCs/>
        </w:rPr>
      </w:pPr>
      <w:r w:rsidRPr="000547B3">
        <w:rPr>
          <w:b/>
          <w:bCs/>
        </w:rPr>
        <w:t>Συμπεράσματα και Προτάσεις</w:t>
      </w:r>
    </w:p>
    <w:p w14:paraId="6703B9A5" w14:textId="77777777" w:rsidR="00C9359A" w:rsidRDefault="00C9359A" w:rsidP="00C9359A">
      <w:pPr>
        <w:ind w:firstLine="284"/>
        <w:jc w:val="both"/>
        <w:rPr>
          <w:b/>
          <w:bCs/>
        </w:rPr>
      </w:pPr>
      <w:r w:rsidRPr="00C9359A">
        <w:rPr>
          <w:color w:val="EE0000"/>
        </w:rPr>
        <w:t xml:space="preserve">Παρά την ανάδειξη σημαντικών τάσεων, η παρούσα έρευνα υπόκειται σε ορισμένους περιορισμούς που πρέπει να ληφθούν υπόψη για την ορθή ερμηνεία των αποτελεσμάτων. Ο κύριος περιορισμός αφορά το μέγεθος του δείγματος (N=60), το οποίο αν και κρίνεται επαρκές για μια διερευνητική μελέτη (Cohen et al., 2007), δεν επιτρέπει την πλήρη γενίκευση των ευρημάτων στο σύνολο του εκπαιδευτικού πληθυσμού. Επιπλέον, σύμφωνα με τις επισημάνσεις των κριτών, αναγνωρίζεται η πιθανότητα εμφάνισης της μεροληψίας κοινής μεθόδου (Common-Method Bias), καθώς η συλλογή των δεδομένων πραγματοποιήθηκε αποκλειστικά μέσω ερωτηματολογίων αυτο-αναφοράς. Όπως επισημαίνουν οι Podsakoff κ.ά. (2003), η προσέγγιση αυτή ενδέχεται να οδηγεί σε τεχνητά διογκωμένες συσχετίσεις μεταξύ των μεταβλητών, καθώς </w:t>
      </w:r>
      <w:r w:rsidRPr="00C9359A">
        <w:rPr>
          <w:color w:val="EE0000"/>
        </w:rPr>
        <w:lastRenderedPageBreak/>
        <w:t>οι συμμετέχοντες τείνουν να διατηρούν μια εσωτερική συνέπεια στις απαντήσεις τους. Για την αντιμετώπιση αυτών των περιορισμών και τη διασφάλιση της εσωτερικής συνοχής του εργαλείου μέτρησης, πραγματοποιήθηκε έλεγχος αξιοπιστίας με τη χρήση του δείκτη Cronbach’s Alpha. Τα αποτελέσματα έδειξαν υψηλή αξιοπιστία για το σύνολο των κλιμάκων, με τις τιμές να κυμαίνονται από 0,82 έως 0,89, γεγονός που υπερβαίνει το διεθνώς αποδεκτό όριο του 0,70 (Nunnally, 1978; Field, 2013) και επιβεβαιώνει ότι οι ερωτήσεις του ερωτηματολογίου μετρούν με συνέπεια τις υπό εξέταση έννοιες.</w:t>
      </w:r>
    </w:p>
    <w:p w14:paraId="53593A6E" w14:textId="77777777" w:rsidR="00C9359A" w:rsidRDefault="00C9359A" w:rsidP="00C9359A">
      <w:pPr>
        <w:ind w:firstLine="284"/>
        <w:jc w:val="both"/>
        <w:rPr>
          <w:b/>
          <w:bCs/>
        </w:rPr>
      </w:pPr>
      <w:r w:rsidRPr="00C9359A">
        <w:rPr>
          <w:color w:val="EE0000"/>
        </w:rPr>
        <w:t>Η ανάλυση κατέδειξε ότι οι εκπαιδευτικοί αντιμετωπίζουν το Πολλαπλό Βιβλίο ως μια καινοτομία με ισχυρή παιδαγωγική δυναμική, η οποία μπορεί να ενισχύσει την επαγγελματική αυτονομία και να προαγάγει την κριτική σκέψη των μαθητών (Koulaidis, 1987). Η θετική αυτή στάση είναι οριζόντια και δεν επηρεάζεται σημαντικά από την ειδικότητα των εκπαιδευτικών, γεγονός που υποδηλώνει μια κοινή αντίληψη για την ανάγκη μετάβασης στον εκπαιδευτικό πλουραλισμό. Ωστόσο, αναδεικνύεται μια σαφής διάσταση ανάμεσα στη θεωρητική αποδοχή και την πρακτική εφαρμοσιμότητα του θεσμού. Τα δομικά εμπόδια, με κυριότερα τις ελλείψεις στις υλικοτεχνικές υποδομές και την απουσία στοχευμένης επιμόρφωσης, αποτελούν τους βασικούς ανασταλτικούς παράγοντες που προκαλούν σκεπτικισμό, ιδιαίτερα στους πιο έμπειρους εκπαιδευτικούς οι οποίοι λειτουργούν ως «ρεαλιστές αξιολογητές» του συστήματος. Όπως υποστηρίζουν οι Fullan &amp; Quinn (2016), η επιτυχία οποιασδήποτε εκπαιδευτικής καινοτομίας εξαρτάται από την ύπαρξη ενός υποστηρικτικού πλαισίου που αίρει τα πρακτικά εμπόδια.</w:t>
      </w:r>
    </w:p>
    <w:p w14:paraId="3E552737" w14:textId="36C23432" w:rsidR="00E51004" w:rsidRPr="00C9359A" w:rsidRDefault="00C9359A" w:rsidP="00C9359A">
      <w:pPr>
        <w:ind w:firstLine="284"/>
        <w:jc w:val="both"/>
        <w:rPr>
          <w:b/>
          <w:bCs/>
        </w:rPr>
        <w:sectPr w:rsidR="00E51004" w:rsidRPr="00C9359A">
          <w:headerReference w:type="default" r:id="rId16"/>
          <w:footerReference w:type="default" r:id="rId17"/>
          <w:type w:val="continuous"/>
          <w:pgSz w:w="11910" w:h="16840"/>
          <w:pgMar w:top="980" w:right="1700" w:bottom="1300" w:left="1559" w:header="709" w:footer="1111" w:gutter="0"/>
          <w:cols w:space="720"/>
        </w:sectPr>
      </w:pPr>
      <w:r w:rsidRPr="00C9359A">
        <w:rPr>
          <w:color w:val="EE0000"/>
        </w:rPr>
        <w:t>Συμπερασματικά, η αποτελεσματική ενσωμάτωση του Πολλαπλού Βιβλίου συναρτάται άμεσα με τη δέσμευση της πολιτείας για τη δημιουργία ενός περιβάλλοντος που θα συνδυάζει την παιδαγωγική ανανέωση με τη σταθερή υποστήριξη των υποδομών και τη διαρκή επιμόρφωση (Κουλαϊδής, 2001). Η εργασία τεκμηριώνει ότι παρά τους μεθοδολογικούς περιορισμούς, το Πολλαπλό Βιβλίο διαθέτει τη δυναμική να μετασχηματίσει τη διδακτική πράξη, αρκεί να αντιμετωπιστούν οι δομικές αδυναμίες που αναδείχθηκαν από την εμπειρική έρευνα.</w:t>
      </w:r>
    </w:p>
    <w:p w14:paraId="035C8358" w14:textId="51B2B5A7" w:rsidR="003F6493" w:rsidRPr="00135843" w:rsidRDefault="007D6916" w:rsidP="00E51004">
      <w:pPr>
        <w:spacing w:before="239"/>
        <w:ind w:firstLine="284"/>
        <w:rPr>
          <w:b/>
          <w:lang w:val="en-US"/>
        </w:rPr>
      </w:pPr>
      <w:r>
        <w:rPr>
          <w:b/>
          <w:spacing w:val="-2"/>
        </w:rPr>
        <w:lastRenderedPageBreak/>
        <w:t>Αναφορές</w:t>
      </w:r>
    </w:p>
    <w:p w14:paraId="04CBD2BA" w14:textId="397038AC" w:rsidR="00B53453" w:rsidRDefault="00B53453" w:rsidP="00B53453">
      <w:pPr>
        <w:ind w:left="238" w:firstLine="284"/>
        <w:jc w:val="both"/>
        <w:rPr>
          <w:lang w:val="en-US"/>
        </w:rPr>
      </w:pPr>
      <w:r w:rsidRPr="00B53453">
        <w:rPr>
          <w:lang w:val="en-US"/>
        </w:rPr>
        <w:t xml:space="preserve">Ball, D. L., &amp; Forzani, F. M. (2021). </w:t>
      </w:r>
      <w:r w:rsidRPr="00B53453">
        <w:rPr>
          <w:i/>
          <w:iCs/>
          <w:lang w:val="en-US"/>
        </w:rPr>
        <w:t>Building a common core for learning to teach and connecting professional learning to practice</w:t>
      </w:r>
      <w:r w:rsidRPr="00B53453">
        <w:rPr>
          <w:lang w:val="en-US"/>
        </w:rPr>
        <w:t xml:space="preserve">. </w:t>
      </w:r>
      <w:r w:rsidRPr="00AD5BF6">
        <w:rPr>
          <w:lang w:val="en-US"/>
        </w:rPr>
        <w:t>Teachers College Record, 123(1), 67–100.</w:t>
      </w:r>
    </w:p>
    <w:p w14:paraId="6DDB6868" w14:textId="1C2E2EBD" w:rsidR="004F0057" w:rsidRPr="00675457" w:rsidRDefault="004F0057" w:rsidP="00B53453">
      <w:pPr>
        <w:ind w:left="238" w:firstLine="284"/>
        <w:jc w:val="both"/>
        <w:rPr>
          <w:lang w:val="en-US"/>
        </w:rPr>
      </w:pPr>
      <w:r w:rsidRPr="004F0057">
        <w:rPr>
          <w:lang w:val="en-US"/>
        </w:rPr>
        <w:t xml:space="preserve">Boone, H. N., &amp; Boone, D. A. (2012). </w:t>
      </w:r>
      <w:r w:rsidRPr="00A80DC4">
        <w:rPr>
          <w:i/>
          <w:iCs/>
          <w:lang w:val="en-US"/>
        </w:rPr>
        <w:t>Analyzing Likert data</w:t>
      </w:r>
      <w:r w:rsidRPr="004F0057">
        <w:rPr>
          <w:lang w:val="en-US"/>
        </w:rPr>
        <w:t>. Journal of Extension, 50(2), 1–5.</w:t>
      </w:r>
    </w:p>
    <w:p w14:paraId="037B0F71" w14:textId="32C3C08F" w:rsidR="004F0057" w:rsidRPr="00135843" w:rsidRDefault="004F0057" w:rsidP="00B53453">
      <w:pPr>
        <w:ind w:left="238" w:firstLine="284"/>
        <w:jc w:val="both"/>
        <w:rPr>
          <w:lang w:val="en-US"/>
        </w:rPr>
      </w:pPr>
      <w:r w:rsidRPr="004F0057">
        <w:rPr>
          <w:lang w:val="en-US"/>
        </w:rPr>
        <w:t xml:space="preserve">BERA (2018). </w:t>
      </w:r>
      <w:r w:rsidRPr="00A80DC4">
        <w:rPr>
          <w:i/>
          <w:iCs/>
          <w:lang w:val="en-US"/>
        </w:rPr>
        <w:t>Ethical Guidelines for Educational Research</w:t>
      </w:r>
      <w:r w:rsidRPr="004F0057">
        <w:rPr>
          <w:lang w:val="en-US"/>
        </w:rPr>
        <w:t xml:space="preserve"> (4th ed.). British Educational Research Association.</w:t>
      </w:r>
    </w:p>
    <w:p w14:paraId="254B1E45" w14:textId="540EC312" w:rsidR="00E33D14" w:rsidRPr="00135843" w:rsidRDefault="00E33D14" w:rsidP="00B53453">
      <w:pPr>
        <w:tabs>
          <w:tab w:val="left" w:pos="1459"/>
          <w:tab w:val="left" w:pos="1883"/>
          <w:tab w:val="left" w:pos="2775"/>
          <w:tab w:val="left" w:pos="4182"/>
          <w:tab w:val="left" w:pos="5192"/>
          <w:tab w:val="left" w:pos="6422"/>
          <w:tab w:val="left" w:pos="7651"/>
        </w:tabs>
        <w:ind w:left="238" w:right="89" w:firstLine="284"/>
        <w:jc w:val="both"/>
        <w:rPr>
          <w:lang w:val="en-US"/>
        </w:rPr>
      </w:pPr>
      <w:r w:rsidRPr="00E33D14">
        <w:rPr>
          <w:lang w:val="en-US"/>
        </w:rPr>
        <w:t xml:space="preserve">Bransford, J. D., Brown, A. L., &amp; Cocking, R. R. (2000). </w:t>
      </w:r>
      <w:r w:rsidRPr="00E33D14">
        <w:rPr>
          <w:i/>
          <w:iCs/>
          <w:lang w:val="en-US"/>
        </w:rPr>
        <w:t>How people learn: Brain, mind, experience, and school</w:t>
      </w:r>
      <w:r w:rsidRPr="00E33D14">
        <w:rPr>
          <w:lang w:val="en-US"/>
        </w:rPr>
        <w:t>. National Academy Press.</w:t>
      </w:r>
    </w:p>
    <w:p w14:paraId="21944E5D" w14:textId="1ABEF4C2" w:rsidR="004F0057" w:rsidRPr="00675457" w:rsidRDefault="004F0057" w:rsidP="00B53453">
      <w:pPr>
        <w:ind w:left="238" w:firstLine="284"/>
        <w:jc w:val="both"/>
        <w:rPr>
          <w:lang w:val="en-US"/>
        </w:rPr>
      </w:pPr>
      <w:r w:rsidRPr="004F0057">
        <w:rPr>
          <w:lang w:val="en-US"/>
        </w:rPr>
        <w:t xml:space="preserve">Bryman, A. (2016). </w:t>
      </w:r>
      <w:r w:rsidRPr="00A80DC4">
        <w:rPr>
          <w:i/>
          <w:iCs/>
          <w:lang w:val="en-US"/>
        </w:rPr>
        <w:t>Social Research Methods</w:t>
      </w:r>
      <w:r w:rsidRPr="004F0057">
        <w:rPr>
          <w:lang w:val="en-US"/>
        </w:rPr>
        <w:t xml:space="preserve"> (5th ed.). Oxford University Press.</w:t>
      </w:r>
    </w:p>
    <w:p w14:paraId="5CC984F5" w14:textId="77777777" w:rsidR="00DE66CC" w:rsidRPr="00AD5BF6" w:rsidRDefault="004F0057" w:rsidP="00DE66CC">
      <w:pPr>
        <w:ind w:left="238" w:firstLine="284"/>
        <w:jc w:val="both"/>
        <w:rPr>
          <w:lang w:val="en-US"/>
        </w:rPr>
      </w:pPr>
      <w:r w:rsidRPr="004F0057">
        <w:rPr>
          <w:lang w:val="en-US"/>
        </w:rPr>
        <w:t xml:space="preserve">Cohen, L., Manion, L., &amp; Morrison, K. (2018). </w:t>
      </w:r>
      <w:r w:rsidRPr="00B53453">
        <w:rPr>
          <w:i/>
          <w:iCs/>
          <w:lang w:val="en-US"/>
        </w:rPr>
        <w:t>Research Methods in Education</w:t>
      </w:r>
      <w:r w:rsidRPr="004F0057">
        <w:rPr>
          <w:lang w:val="en-US"/>
        </w:rPr>
        <w:t xml:space="preserve"> (8th ed.). Routledge</w:t>
      </w:r>
      <w:r w:rsidRPr="00135843">
        <w:rPr>
          <w:lang w:val="en-US"/>
        </w:rPr>
        <w:t xml:space="preserve">. </w:t>
      </w:r>
    </w:p>
    <w:p w14:paraId="047CC523" w14:textId="39FE8E22" w:rsidR="00DE66CC" w:rsidRPr="00AD5BF6" w:rsidRDefault="00DE66CC" w:rsidP="00DE66CC">
      <w:pPr>
        <w:ind w:left="238" w:firstLine="284"/>
        <w:jc w:val="both"/>
        <w:rPr>
          <w:lang w:val="en-US"/>
        </w:rPr>
      </w:pPr>
      <w:r w:rsidRPr="00DE66CC">
        <w:rPr>
          <w:lang w:val="en-US"/>
        </w:rPr>
        <w:t xml:space="preserve">Cohen, L., Manion, L., &amp; Morrison, K. (2007). </w:t>
      </w:r>
      <w:r w:rsidRPr="00DE66CC">
        <w:rPr>
          <w:i/>
          <w:iCs/>
          <w:lang w:val="en-US"/>
        </w:rPr>
        <w:t>Research Methods in Education</w:t>
      </w:r>
      <w:r w:rsidRPr="00DE66CC">
        <w:rPr>
          <w:lang w:val="en-US"/>
        </w:rPr>
        <w:t>. Routledge.</w:t>
      </w:r>
    </w:p>
    <w:p w14:paraId="357CCD99" w14:textId="12BAEBB9" w:rsidR="00B53453" w:rsidRPr="006F3CDF" w:rsidRDefault="00B53453" w:rsidP="00B53453">
      <w:pPr>
        <w:tabs>
          <w:tab w:val="left" w:pos="1459"/>
          <w:tab w:val="left" w:pos="1883"/>
          <w:tab w:val="left" w:pos="2775"/>
          <w:tab w:val="left" w:pos="4182"/>
          <w:tab w:val="left" w:pos="5192"/>
          <w:tab w:val="left" w:pos="6422"/>
          <w:tab w:val="left" w:pos="7651"/>
        </w:tabs>
        <w:ind w:left="238" w:right="89" w:firstLine="284"/>
        <w:jc w:val="both"/>
        <w:rPr>
          <w:lang w:val="en-US"/>
        </w:rPr>
      </w:pPr>
      <w:r w:rsidRPr="00E33D14">
        <w:rPr>
          <w:lang w:val="en-US"/>
        </w:rPr>
        <w:t xml:space="preserve">Darling-Hammond, L., Flook, L., Cook-Harvey, C., Barron, B., &amp; Osher, D. (2020). </w:t>
      </w:r>
      <w:r w:rsidRPr="00B53453">
        <w:rPr>
          <w:i/>
          <w:iCs/>
          <w:lang w:val="en-US"/>
        </w:rPr>
        <w:t>Implications for educational practice of the science of learning and development</w:t>
      </w:r>
      <w:r w:rsidRPr="00E33D14">
        <w:rPr>
          <w:lang w:val="en-US"/>
        </w:rPr>
        <w:t xml:space="preserve">. </w:t>
      </w:r>
      <w:r w:rsidRPr="006F3CDF">
        <w:rPr>
          <w:lang w:val="en-US"/>
        </w:rPr>
        <w:t xml:space="preserve">Applied Developmental Science, 24(2), 97–140. </w:t>
      </w:r>
    </w:p>
    <w:p w14:paraId="2E1DB89B" w14:textId="1DC4FA5F" w:rsidR="004F0057" w:rsidRPr="00675457" w:rsidRDefault="004F0057" w:rsidP="00B53453">
      <w:pPr>
        <w:ind w:left="238" w:firstLine="284"/>
        <w:jc w:val="both"/>
        <w:rPr>
          <w:lang w:val="en-US"/>
        </w:rPr>
      </w:pPr>
      <w:r w:rsidRPr="004F0057">
        <w:rPr>
          <w:lang w:val="en-US"/>
        </w:rPr>
        <w:t xml:space="preserve">Etikan, I., Musa, S. A., &amp; Alkassim, R. S. (2016). </w:t>
      </w:r>
      <w:r w:rsidRPr="00B53453">
        <w:rPr>
          <w:i/>
          <w:iCs/>
          <w:lang w:val="en-US"/>
        </w:rPr>
        <w:t>Comparison of convenience sampling and purposive sampling</w:t>
      </w:r>
      <w:r w:rsidRPr="004F0057">
        <w:rPr>
          <w:lang w:val="en-US"/>
        </w:rPr>
        <w:t>. American Journal of Theoretical and Applied Statistics, 5(1), 1–4.</w:t>
      </w:r>
    </w:p>
    <w:p w14:paraId="3BE27BF3" w14:textId="4A435C7C" w:rsidR="00C9359A" w:rsidRPr="00AD5BF6" w:rsidRDefault="00C9359A" w:rsidP="00C9359A">
      <w:pPr>
        <w:ind w:left="238" w:firstLine="284"/>
        <w:jc w:val="both"/>
        <w:rPr>
          <w:color w:val="EE0000"/>
          <w:lang w:val="en-US"/>
        </w:rPr>
      </w:pPr>
      <w:r w:rsidRPr="00C9359A">
        <w:rPr>
          <w:color w:val="EE0000"/>
          <w:lang w:val="en-US"/>
        </w:rPr>
        <w:t xml:space="preserve">Field, A. (2013). </w:t>
      </w:r>
      <w:r w:rsidRPr="00C9359A">
        <w:rPr>
          <w:i/>
          <w:iCs/>
          <w:color w:val="EE0000"/>
          <w:lang w:val="en-US"/>
        </w:rPr>
        <w:t>Discovering Statistics Using IBM SPSS Statistics</w:t>
      </w:r>
      <w:r w:rsidRPr="00C9359A">
        <w:rPr>
          <w:color w:val="EE0000"/>
          <w:lang w:val="en-US"/>
        </w:rPr>
        <w:t>. Sage Publications.</w:t>
      </w:r>
    </w:p>
    <w:p w14:paraId="6124EB86" w14:textId="28A42314" w:rsidR="002F5D80" w:rsidRPr="00AD5BF6" w:rsidRDefault="004F0057" w:rsidP="002F5D80">
      <w:pPr>
        <w:ind w:left="238" w:firstLine="284"/>
        <w:jc w:val="both"/>
        <w:rPr>
          <w:lang w:val="en-US"/>
        </w:rPr>
      </w:pPr>
      <w:r w:rsidRPr="004F0057">
        <w:rPr>
          <w:lang w:val="en-US"/>
        </w:rPr>
        <w:t xml:space="preserve">Field, A. (2018). </w:t>
      </w:r>
      <w:r w:rsidRPr="00B53453">
        <w:rPr>
          <w:i/>
          <w:iCs/>
          <w:lang w:val="en-US"/>
        </w:rPr>
        <w:t>Discovering Statistics Using IBM SPSS Statistics</w:t>
      </w:r>
      <w:r w:rsidRPr="004F0057">
        <w:rPr>
          <w:lang w:val="en-US"/>
        </w:rPr>
        <w:t xml:space="preserve"> (5th ed.). Sage.</w:t>
      </w:r>
    </w:p>
    <w:p w14:paraId="2F05A04F" w14:textId="77777777" w:rsidR="00C9359A" w:rsidRPr="00135843" w:rsidRDefault="00C9359A" w:rsidP="00C9359A">
      <w:pPr>
        <w:ind w:left="238" w:firstLine="284"/>
        <w:jc w:val="both"/>
        <w:rPr>
          <w:lang w:val="en-US"/>
        </w:rPr>
      </w:pPr>
      <w:r w:rsidRPr="003F6493">
        <w:rPr>
          <w:lang w:val="en-US"/>
        </w:rPr>
        <w:t xml:space="preserve">Fullan, M. (2016). </w:t>
      </w:r>
      <w:r w:rsidRPr="00B53453">
        <w:rPr>
          <w:i/>
          <w:iCs/>
          <w:lang w:val="en-US"/>
        </w:rPr>
        <w:t>The new meaning of educational change</w:t>
      </w:r>
      <w:r w:rsidRPr="003F6493">
        <w:rPr>
          <w:lang w:val="en-US"/>
        </w:rPr>
        <w:t xml:space="preserve"> (5th ed.). </w:t>
      </w:r>
      <w:r w:rsidRPr="00675457">
        <w:rPr>
          <w:lang w:val="en-US"/>
        </w:rPr>
        <w:t>Routledge.</w:t>
      </w:r>
    </w:p>
    <w:p w14:paraId="27422156" w14:textId="0BC1DDFA" w:rsidR="00C9359A" w:rsidRPr="00AD5BF6" w:rsidRDefault="00C9359A" w:rsidP="00C9359A">
      <w:pPr>
        <w:ind w:left="238" w:firstLine="284"/>
        <w:jc w:val="both"/>
        <w:rPr>
          <w:color w:val="EE0000"/>
          <w:lang w:val="en-US"/>
        </w:rPr>
      </w:pPr>
      <w:r w:rsidRPr="00C9359A">
        <w:rPr>
          <w:color w:val="EE0000"/>
          <w:lang w:val="en-US"/>
        </w:rPr>
        <w:t xml:space="preserve">Fullan, M., &amp; Quinn, J. (2016). </w:t>
      </w:r>
      <w:r w:rsidRPr="00C9359A">
        <w:rPr>
          <w:i/>
          <w:iCs/>
          <w:color w:val="EE0000"/>
          <w:lang w:val="en-US"/>
        </w:rPr>
        <w:t>Coherence: The Right Drivers in Action for Schools, Districts, and Systems</w:t>
      </w:r>
      <w:r w:rsidRPr="00C9359A">
        <w:rPr>
          <w:color w:val="EE0000"/>
          <w:lang w:val="en-US"/>
        </w:rPr>
        <w:t xml:space="preserve">. </w:t>
      </w:r>
      <w:r w:rsidRPr="00AD5BF6">
        <w:rPr>
          <w:color w:val="EE0000"/>
          <w:lang w:val="en-US"/>
        </w:rPr>
        <w:t>Corwin Press.</w:t>
      </w:r>
    </w:p>
    <w:p w14:paraId="202CBEA2" w14:textId="04448E96" w:rsidR="00C9359A" w:rsidRPr="00AD5BF6" w:rsidRDefault="00C9359A" w:rsidP="00C9359A">
      <w:pPr>
        <w:ind w:left="238" w:firstLine="284"/>
        <w:jc w:val="both"/>
        <w:rPr>
          <w:lang w:val="en-US"/>
        </w:rPr>
      </w:pPr>
      <w:r w:rsidRPr="00B53453">
        <w:rPr>
          <w:lang w:val="en-US"/>
        </w:rPr>
        <w:t xml:space="preserve">Fullan, M. (2007). </w:t>
      </w:r>
      <w:r w:rsidRPr="00B53453">
        <w:rPr>
          <w:i/>
          <w:iCs/>
          <w:lang w:val="en-US"/>
        </w:rPr>
        <w:t>The new meaning of educational change</w:t>
      </w:r>
      <w:r w:rsidRPr="00B53453">
        <w:rPr>
          <w:lang w:val="en-US"/>
        </w:rPr>
        <w:t xml:space="preserve"> (4th ed.). </w:t>
      </w:r>
      <w:r w:rsidRPr="00135843">
        <w:rPr>
          <w:lang w:val="en-US"/>
        </w:rPr>
        <w:t>Teachers College Press.</w:t>
      </w:r>
    </w:p>
    <w:p w14:paraId="209353B8" w14:textId="4EFF6A79" w:rsidR="00206A8D" w:rsidRPr="00206A8D" w:rsidRDefault="002D4F66" w:rsidP="00206A8D">
      <w:pPr>
        <w:tabs>
          <w:tab w:val="left" w:pos="1459"/>
          <w:tab w:val="left" w:pos="1883"/>
          <w:tab w:val="left" w:pos="2775"/>
          <w:tab w:val="left" w:pos="4182"/>
          <w:tab w:val="left" w:pos="5192"/>
          <w:tab w:val="left" w:pos="6422"/>
          <w:tab w:val="left" w:pos="7651"/>
        </w:tabs>
        <w:ind w:left="238" w:right="89" w:firstLine="284"/>
        <w:jc w:val="both"/>
      </w:pPr>
      <w:r w:rsidRPr="002D4F66">
        <w:rPr>
          <w:lang w:val="en-US"/>
        </w:rPr>
        <w:t xml:space="preserve">Hattie, J. (2018). </w:t>
      </w:r>
      <w:r w:rsidRPr="00B53453">
        <w:rPr>
          <w:i/>
          <w:iCs/>
          <w:lang w:val="en-US"/>
        </w:rPr>
        <w:t>Visible Learning: A Synthesis of Over 800 Meta-Analyses Relating to Achievement.</w:t>
      </w:r>
      <w:r w:rsidRPr="002D4F66">
        <w:rPr>
          <w:lang w:val="en-US"/>
        </w:rPr>
        <w:t xml:space="preserve"> Routledge</w:t>
      </w:r>
      <w:r w:rsidRPr="006F3CDF">
        <w:t>.</w:t>
      </w:r>
    </w:p>
    <w:p w14:paraId="34E5C1BF" w14:textId="77777777" w:rsidR="00431C73" w:rsidRDefault="00280529" w:rsidP="00431C73">
      <w:pPr>
        <w:tabs>
          <w:tab w:val="left" w:pos="1459"/>
          <w:tab w:val="left" w:pos="1883"/>
          <w:tab w:val="left" w:pos="2775"/>
          <w:tab w:val="left" w:pos="4182"/>
          <w:tab w:val="left" w:pos="5192"/>
          <w:tab w:val="left" w:pos="6422"/>
          <w:tab w:val="left" w:pos="7651"/>
        </w:tabs>
        <w:ind w:left="238" w:right="89" w:firstLine="284"/>
        <w:jc w:val="both"/>
        <w:rPr>
          <w:color w:val="EE0000"/>
        </w:rPr>
      </w:pPr>
      <w:r w:rsidRPr="00280529">
        <w:rPr>
          <w:color w:val="EE0000"/>
        </w:rPr>
        <w:t xml:space="preserve">ΙΕΠ (2024). </w:t>
      </w:r>
      <w:r w:rsidRPr="00280529">
        <w:rPr>
          <w:i/>
          <w:iCs/>
          <w:color w:val="EE0000"/>
        </w:rPr>
        <w:t>Πρόσκληση για τη συγγραφή και ένταξη βιβλίων στο Μητρώο Διδακτικών Βιβλίων</w:t>
      </w:r>
      <w:r w:rsidRPr="00280529">
        <w:rPr>
          <w:color w:val="EE0000"/>
        </w:rPr>
        <w:t>. Αθήνα: Ινστιτούτο Εκπαιδευτικής Πολιτικής.</w:t>
      </w:r>
    </w:p>
    <w:p w14:paraId="3BD13469" w14:textId="776B7589" w:rsidR="00206A8D" w:rsidRPr="00206A8D" w:rsidRDefault="00206A8D" w:rsidP="00431C73">
      <w:pPr>
        <w:tabs>
          <w:tab w:val="left" w:pos="1459"/>
          <w:tab w:val="left" w:pos="1883"/>
          <w:tab w:val="left" w:pos="2775"/>
          <w:tab w:val="left" w:pos="4182"/>
          <w:tab w:val="left" w:pos="5192"/>
          <w:tab w:val="left" w:pos="6422"/>
          <w:tab w:val="left" w:pos="7651"/>
        </w:tabs>
        <w:ind w:left="238" w:right="89" w:firstLine="284"/>
        <w:jc w:val="both"/>
        <w:rPr>
          <w:color w:val="EE0000"/>
        </w:rPr>
      </w:pPr>
      <w:r w:rsidRPr="00206A8D">
        <w:rPr>
          <w:color w:val="EE0000"/>
        </w:rPr>
        <w:t xml:space="preserve">ΙΕΠ (2024). </w:t>
      </w:r>
      <w:r w:rsidRPr="00206A8D">
        <w:rPr>
          <w:i/>
          <w:iCs/>
          <w:color w:val="EE0000"/>
        </w:rPr>
        <w:t>Οδηγός για την έγκριση διεξαγωγής ερευνών</w:t>
      </w:r>
      <w:r w:rsidRPr="00206A8D">
        <w:rPr>
          <w:color w:val="EE0000"/>
        </w:rPr>
        <w:t>. Αθήνα: Ινστιτούτο Εκπαιδευτικής Πολιτικής.</w:t>
      </w:r>
    </w:p>
    <w:p w14:paraId="7056DDAF" w14:textId="656CFECF" w:rsidR="00431C73" w:rsidRPr="006F3CDF" w:rsidRDefault="00431C73" w:rsidP="00431C73">
      <w:pPr>
        <w:tabs>
          <w:tab w:val="left" w:pos="1459"/>
          <w:tab w:val="left" w:pos="1883"/>
          <w:tab w:val="left" w:pos="2775"/>
          <w:tab w:val="left" w:pos="4182"/>
          <w:tab w:val="left" w:pos="5192"/>
          <w:tab w:val="left" w:pos="6422"/>
          <w:tab w:val="left" w:pos="7651"/>
        </w:tabs>
        <w:ind w:left="238" w:right="89" w:firstLine="284"/>
        <w:jc w:val="both"/>
        <w:rPr>
          <w:color w:val="EE0000"/>
          <w:lang w:val="en-US"/>
        </w:rPr>
      </w:pPr>
      <w:r w:rsidRPr="00431C73">
        <w:rPr>
          <w:color w:val="EE0000"/>
          <w:lang w:val="en-US"/>
        </w:rPr>
        <w:t>Koulaidis</w:t>
      </w:r>
      <w:r w:rsidRPr="006F3CDF">
        <w:rPr>
          <w:color w:val="EE0000"/>
        </w:rPr>
        <w:t xml:space="preserve">, </w:t>
      </w:r>
      <w:r w:rsidRPr="00431C73">
        <w:rPr>
          <w:color w:val="EE0000"/>
          <w:lang w:val="en-US"/>
        </w:rPr>
        <w:t>V</w:t>
      </w:r>
      <w:r w:rsidRPr="006F3CDF">
        <w:rPr>
          <w:color w:val="EE0000"/>
        </w:rPr>
        <w:t>.</w:t>
      </w:r>
      <w:r w:rsidRPr="006F3CDF">
        <w:rPr>
          <w:i/>
          <w:iCs/>
          <w:color w:val="EE0000"/>
        </w:rPr>
        <w:t xml:space="preserve"> (1987). </w:t>
      </w:r>
      <w:r w:rsidRPr="00431C73">
        <w:rPr>
          <w:i/>
          <w:iCs/>
          <w:color w:val="EE0000"/>
          <w:lang w:val="en-US"/>
        </w:rPr>
        <w:t>Philosophy of Science in relation to curricular and pedagogical issues: A study of science teachers' opinions and their implications. (Doctoral dissertation). University of London, London.</w:t>
      </w:r>
    </w:p>
    <w:p w14:paraId="6D550376" w14:textId="77777777" w:rsidR="00280529" w:rsidRDefault="00593E4B" w:rsidP="00280529">
      <w:pPr>
        <w:tabs>
          <w:tab w:val="left" w:pos="1459"/>
          <w:tab w:val="left" w:pos="1883"/>
          <w:tab w:val="left" w:pos="2775"/>
          <w:tab w:val="left" w:pos="4182"/>
          <w:tab w:val="left" w:pos="5192"/>
          <w:tab w:val="left" w:pos="6422"/>
          <w:tab w:val="left" w:pos="7651"/>
        </w:tabs>
        <w:ind w:left="238" w:right="89" w:firstLine="284"/>
        <w:jc w:val="both"/>
        <w:rPr>
          <w:color w:val="EE0000"/>
        </w:rPr>
      </w:pPr>
      <w:r w:rsidRPr="00280529">
        <w:rPr>
          <w:color w:val="EE0000"/>
        </w:rPr>
        <w:t>Κουζέλης</w:t>
      </w:r>
      <w:r w:rsidRPr="006F3CDF">
        <w:rPr>
          <w:color w:val="EE0000"/>
          <w:lang w:val="en-US"/>
        </w:rPr>
        <w:t xml:space="preserve">, </w:t>
      </w:r>
      <w:r w:rsidRPr="00280529">
        <w:rPr>
          <w:color w:val="EE0000"/>
        </w:rPr>
        <w:t>Γ</w:t>
      </w:r>
      <w:r w:rsidRPr="006F3CDF">
        <w:rPr>
          <w:color w:val="EE0000"/>
          <w:lang w:val="en-US"/>
        </w:rPr>
        <w:t xml:space="preserve">. &amp; </w:t>
      </w:r>
      <w:r w:rsidRPr="00280529">
        <w:rPr>
          <w:color w:val="EE0000"/>
        </w:rPr>
        <w:t>Κουλαϊδής</w:t>
      </w:r>
      <w:r w:rsidRPr="006F3CDF">
        <w:rPr>
          <w:color w:val="EE0000"/>
          <w:lang w:val="en-US"/>
        </w:rPr>
        <w:t xml:space="preserve">, </w:t>
      </w:r>
      <w:r w:rsidRPr="00280529">
        <w:rPr>
          <w:color w:val="EE0000"/>
        </w:rPr>
        <w:t>Β</w:t>
      </w:r>
      <w:r w:rsidRPr="006F3CDF">
        <w:rPr>
          <w:color w:val="EE0000"/>
          <w:lang w:val="en-US"/>
        </w:rPr>
        <w:t xml:space="preserve">. (1990). </w:t>
      </w:r>
      <w:r w:rsidRPr="00280529">
        <w:rPr>
          <w:i/>
          <w:iCs/>
          <w:color w:val="EE0000"/>
        </w:rPr>
        <w:t>Επιστημολογία και Διδακτική ΙΙ</w:t>
      </w:r>
      <w:r w:rsidRPr="00280529">
        <w:rPr>
          <w:color w:val="EE0000"/>
        </w:rPr>
        <w:t>. Θεσσαλονίκη: Υπηρεσία Δημοσιευμάτων Α.Π.Θ.</w:t>
      </w:r>
    </w:p>
    <w:p w14:paraId="6C9DABB6" w14:textId="77777777" w:rsidR="000404FE" w:rsidRDefault="000404FE" w:rsidP="000404FE">
      <w:pPr>
        <w:tabs>
          <w:tab w:val="left" w:pos="1459"/>
          <w:tab w:val="left" w:pos="1883"/>
          <w:tab w:val="left" w:pos="2775"/>
          <w:tab w:val="left" w:pos="4182"/>
          <w:tab w:val="left" w:pos="5192"/>
          <w:tab w:val="left" w:pos="6422"/>
          <w:tab w:val="left" w:pos="7651"/>
        </w:tabs>
        <w:ind w:left="238" w:right="89" w:firstLine="284"/>
        <w:jc w:val="both"/>
        <w:rPr>
          <w:color w:val="EE0000"/>
        </w:rPr>
      </w:pPr>
      <w:r w:rsidRPr="00280529">
        <w:rPr>
          <w:color w:val="EE0000"/>
        </w:rPr>
        <w:t xml:space="preserve">Κουλαϊδής, Β. (επ.), (1994). </w:t>
      </w:r>
      <w:r w:rsidRPr="00280529">
        <w:rPr>
          <w:i/>
          <w:iCs/>
          <w:color w:val="EE0000"/>
        </w:rPr>
        <w:t>Αναπαραστάσεις του Φυσικού Κόσμου: Γνωστική, Επιστημολογική και Διδακτική προσέγγιση</w:t>
      </w:r>
      <w:r w:rsidRPr="00280529">
        <w:rPr>
          <w:color w:val="EE0000"/>
        </w:rPr>
        <w:t>. Αθήνα: Gutenberg.</w:t>
      </w:r>
    </w:p>
    <w:p w14:paraId="3CB4B940" w14:textId="79A93D32" w:rsidR="000404FE" w:rsidRPr="000404FE" w:rsidRDefault="000404FE" w:rsidP="000404FE">
      <w:pPr>
        <w:tabs>
          <w:tab w:val="left" w:pos="1459"/>
          <w:tab w:val="left" w:pos="1883"/>
          <w:tab w:val="left" w:pos="2775"/>
          <w:tab w:val="left" w:pos="4182"/>
          <w:tab w:val="left" w:pos="5192"/>
          <w:tab w:val="left" w:pos="6422"/>
          <w:tab w:val="left" w:pos="7651"/>
        </w:tabs>
        <w:ind w:left="238" w:right="89" w:firstLine="284"/>
        <w:jc w:val="both"/>
        <w:rPr>
          <w:color w:val="EE0000"/>
        </w:rPr>
      </w:pPr>
      <w:r w:rsidRPr="000404FE">
        <w:rPr>
          <w:color w:val="EE0000"/>
        </w:rPr>
        <w:t xml:space="preserve">Κουλαϊδής, Β. (επ.), (2001). </w:t>
      </w:r>
      <w:r w:rsidRPr="000404FE">
        <w:rPr>
          <w:i/>
          <w:iCs/>
          <w:color w:val="EE0000"/>
        </w:rPr>
        <w:t>Τεχνολογίες της Πληροφορίας και της Επικοινωνίας στην Εκπαίδευση</w:t>
      </w:r>
      <w:r w:rsidRPr="000404FE">
        <w:rPr>
          <w:color w:val="EE0000"/>
        </w:rPr>
        <w:t>. Αθήνα: Μεταίχμιο.</w:t>
      </w:r>
    </w:p>
    <w:p w14:paraId="23A9F6C4" w14:textId="64C8258A" w:rsidR="00280529" w:rsidRPr="006F3CDF" w:rsidRDefault="00280529" w:rsidP="00280529">
      <w:pPr>
        <w:tabs>
          <w:tab w:val="left" w:pos="1459"/>
          <w:tab w:val="left" w:pos="1883"/>
          <w:tab w:val="left" w:pos="2775"/>
          <w:tab w:val="left" w:pos="4182"/>
          <w:tab w:val="left" w:pos="5192"/>
          <w:tab w:val="left" w:pos="6422"/>
          <w:tab w:val="left" w:pos="7651"/>
        </w:tabs>
        <w:ind w:left="238" w:right="89" w:firstLine="284"/>
        <w:jc w:val="both"/>
        <w:rPr>
          <w:color w:val="EE0000"/>
          <w:lang w:val="en-US"/>
        </w:rPr>
      </w:pPr>
      <w:r w:rsidRPr="00280529">
        <w:rPr>
          <w:color w:val="EE0000"/>
        </w:rPr>
        <w:t xml:space="preserve">Κουλαϊδής, Β., Αποστόλου, Α., &amp; Χατζηνικήτα, Β. (2007). </w:t>
      </w:r>
      <w:r w:rsidRPr="00280529">
        <w:rPr>
          <w:i/>
          <w:iCs/>
          <w:color w:val="EE0000"/>
        </w:rPr>
        <w:t>Διδακτικές προσεγγίσεις και υλικό για τις φυσικές επιστήμες</w:t>
      </w:r>
      <w:r w:rsidRPr="00280529">
        <w:rPr>
          <w:color w:val="EE0000"/>
        </w:rPr>
        <w:t>. Αθήνα</w:t>
      </w:r>
      <w:r w:rsidRPr="006F3CDF">
        <w:rPr>
          <w:color w:val="EE0000"/>
          <w:lang w:val="en-US"/>
        </w:rPr>
        <w:t xml:space="preserve">: </w:t>
      </w:r>
      <w:r w:rsidRPr="00280529">
        <w:rPr>
          <w:color w:val="EE0000"/>
        </w:rPr>
        <w:t>Μεταίχμιο</w:t>
      </w:r>
      <w:r w:rsidRPr="006F3CDF">
        <w:rPr>
          <w:color w:val="EE0000"/>
          <w:lang w:val="en-US"/>
        </w:rPr>
        <w:t>.</w:t>
      </w:r>
    </w:p>
    <w:p w14:paraId="3B794352" w14:textId="77777777" w:rsidR="003C3258" w:rsidRPr="00AD5BF6" w:rsidRDefault="004F0057" w:rsidP="003C3258">
      <w:pPr>
        <w:tabs>
          <w:tab w:val="left" w:pos="1459"/>
          <w:tab w:val="left" w:pos="1883"/>
          <w:tab w:val="left" w:pos="2775"/>
          <w:tab w:val="left" w:pos="4182"/>
          <w:tab w:val="left" w:pos="5192"/>
          <w:tab w:val="left" w:pos="6422"/>
          <w:tab w:val="left" w:pos="7651"/>
        </w:tabs>
        <w:ind w:left="238" w:right="89" w:firstLine="284"/>
        <w:jc w:val="both"/>
        <w:rPr>
          <w:lang w:val="en-US"/>
        </w:rPr>
      </w:pPr>
      <w:r w:rsidRPr="004F0057">
        <w:rPr>
          <w:lang w:val="en-US"/>
        </w:rPr>
        <w:t>Likert</w:t>
      </w:r>
      <w:r w:rsidRPr="006F3CDF">
        <w:rPr>
          <w:lang w:val="en-US"/>
        </w:rPr>
        <w:t xml:space="preserve">, </w:t>
      </w:r>
      <w:r w:rsidRPr="004F0057">
        <w:rPr>
          <w:lang w:val="en-US"/>
        </w:rPr>
        <w:t>R</w:t>
      </w:r>
      <w:r w:rsidRPr="006F3CDF">
        <w:rPr>
          <w:lang w:val="en-US"/>
        </w:rPr>
        <w:t xml:space="preserve">. (1932). </w:t>
      </w:r>
      <w:r w:rsidRPr="00B53453">
        <w:rPr>
          <w:i/>
          <w:iCs/>
          <w:lang w:val="en-US"/>
        </w:rPr>
        <w:t>A technique for the measurement of attitudes</w:t>
      </w:r>
      <w:r w:rsidRPr="004F0057">
        <w:rPr>
          <w:lang w:val="en-US"/>
        </w:rPr>
        <w:t xml:space="preserve">. </w:t>
      </w:r>
      <w:r w:rsidRPr="00675457">
        <w:rPr>
          <w:lang w:val="en-US"/>
        </w:rPr>
        <w:t>Archives of Psychology, 22(140), 1–55.</w:t>
      </w:r>
    </w:p>
    <w:p w14:paraId="14F954A3" w14:textId="5807232F" w:rsidR="003C3258" w:rsidRPr="00AD5BF6" w:rsidRDefault="003C3258" w:rsidP="003C3258">
      <w:pPr>
        <w:tabs>
          <w:tab w:val="left" w:pos="1459"/>
          <w:tab w:val="left" w:pos="1883"/>
          <w:tab w:val="left" w:pos="2775"/>
          <w:tab w:val="left" w:pos="4182"/>
          <w:tab w:val="left" w:pos="5192"/>
          <w:tab w:val="left" w:pos="6422"/>
          <w:tab w:val="left" w:pos="7651"/>
        </w:tabs>
        <w:ind w:left="238" w:right="89" w:firstLine="284"/>
        <w:jc w:val="both"/>
        <w:rPr>
          <w:color w:val="EE0000"/>
          <w:lang w:val="en-US"/>
        </w:rPr>
      </w:pPr>
      <w:r w:rsidRPr="00C9359A">
        <w:rPr>
          <w:color w:val="EE0000"/>
          <w:lang w:val="en-US"/>
        </w:rPr>
        <w:t xml:space="preserve">Nunnally, J. C. (1978). </w:t>
      </w:r>
      <w:r w:rsidRPr="00C9359A">
        <w:rPr>
          <w:i/>
          <w:iCs/>
          <w:color w:val="EE0000"/>
          <w:lang w:val="en-US"/>
        </w:rPr>
        <w:t>Psychometric Theory</w:t>
      </w:r>
      <w:r w:rsidRPr="00C9359A">
        <w:rPr>
          <w:color w:val="EE0000"/>
          <w:lang w:val="en-US"/>
        </w:rPr>
        <w:t>. McGraw-Hill.</w:t>
      </w:r>
    </w:p>
    <w:p w14:paraId="6A170BEB" w14:textId="77777777" w:rsidR="002D4F66" w:rsidRPr="00C9359A" w:rsidRDefault="002D4F66" w:rsidP="00B53453">
      <w:pPr>
        <w:tabs>
          <w:tab w:val="left" w:pos="1459"/>
          <w:tab w:val="left" w:pos="1883"/>
          <w:tab w:val="left" w:pos="2775"/>
          <w:tab w:val="left" w:pos="4182"/>
          <w:tab w:val="left" w:pos="5192"/>
          <w:tab w:val="left" w:pos="6422"/>
          <w:tab w:val="left" w:pos="7651"/>
        </w:tabs>
        <w:ind w:left="238" w:right="89" w:firstLine="284"/>
        <w:jc w:val="both"/>
        <w:rPr>
          <w:color w:val="EE0000"/>
          <w:lang w:val="en-US"/>
        </w:rPr>
      </w:pPr>
      <w:r w:rsidRPr="00C9359A">
        <w:rPr>
          <w:color w:val="EE0000"/>
          <w:lang w:val="en-US"/>
        </w:rPr>
        <w:t xml:space="preserve">OECD (2020). </w:t>
      </w:r>
      <w:r w:rsidRPr="00C9359A">
        <w:rPr>
          <w:i/>
          <w:iCs/>
          <w:color w:val="EE0000"/>
          <w:lang w:val="en-US"/>
        </w:rPr>
        <w:t>Teachers and School Leaders as Lifelong Learners</w:t>
      </w:r>
      <w:r w:rsidRPr="00C9359A">
        <w:rPr>
          <w:color w:val="EE0000"/>
          <w:lang w:val="en-US"/>
        </w:rPr>
        <w:t>. OECD Publishing.</w:t>
      </w:r>
    </w:p>
    <w:p w14:paraId="52EAD67D" w14:textId="77777777" w:rsidR="003C3258" w:rsidRPr="00C9359A" w:rsidRDefault="00B53453" w:rsidP="003C3258">
      <w:pPr>
        <w:tabs>
          <w:tab w:val="left" w:pos="1459"/>
          <w:tab w:val="left" w:pos="1883"/>
          <w:tab w:val="left" w:pos="2775"/>
          <w:tab w:val="left" w:pos="4182"/>
          <w:tab w:val="left" w:pos="5192"/>
          <w:tab w:val="left" w:pos="6422"/>
          <w:tab w:val="left" w:pos="7651"/>
        </w:tabs>
        <w:ind w:left="238" w:right="89" w:firstLine="284"/>
        <w:jc w:val="both"/>
        <w:rPr>
          <w:color w:val="EE0000"/>
          <w:lang w:val="en-US"/>
        </w:rPr>
      </w:pPr>
      <w:r w:rsidRPr="00C9359A">
        <w:rPr>
          <w:color w:val="EE0000"/>
          <w:lang w:val="en-US"/>
        </w:rPr>
        <w:t xml:space="preserve">Reigeluth, C. M., &amp; Karnopp, J. (2013). </w:t>
      </w:r>
      <w:r w:rsidRPr="00C9359A">
        <w:rPr>
          <w:i/>
          <w:iCs/>
          <w:color w:val="EE0000"/>
          <w:lang w:val="en-US"/>
        </w:rPr>
        <w:t xml:space="preserve">Instructional-design theories and models: A new paradigm of instructional theory </w:t>
      </w:r>
      <w:r w:rsidRPr="00C9359A">
        <w:rPr>
          <w:color w:val="EE0000"/>
          <w:lang w:val="en-US"/>
        </w:rPr>
        <w:t>(Vol. 4). Routledge.</w:t>
      </w:r>
    </w:p>
    <w:p w14:paraId="63A7DDB5" w14:textId="1633537A" w:rsidR="003C3258" w:rsidRPr="00AD5BF6" w:rsidRDefault="003C3258" w:rsidP="003C3258">
      <w:pPr>
        <w:tabs>
          <w:tab w:val="left" w:pos="1459"/>
          <w:tab w:val="left" w:pos="1883"/>
          <w:tab w:val="left" w:pos="2775"/>
          <w:tab w:val="left" w:pos="4182"/>
          <w:tab w:val="left" w:pos="5192"/>
          <w:tab w:val="left" w:pos="6422"/>
          <w:tab w:val="left" w:pos="7651"/>
        </w:tabs>
        <w:ind w:left="238" w:right="89" w:firstLine="284"/>
        <w:jc w:val="both"/>
        <w:rPr>
          <w:color w:val="EE0000"/>
          <w:lang w:val="en-US"/>
        </w:rPr>
      </w:pPr>
      <w:r w:rsidRPr="00C9359A">
        <w:rPr>
          <w:color w:val="EE0000"/>
          <w:lang w:val="en-US"/>
        </w:rPr>
        <w:t xml:space="preserve">Podsakoff, P. M., MacKenzie, S. B., Lee, J. Y., &amp; Podsakoff, N. P. (2003). Common method biases in behavioral research: A critical review of the literature and recommended remedies. </w:t>
      </w:r>
      <w:r w:rsidRPr="00AD5BF6">
        <w:rPr>
          <w:i/>
          <w:iCs/>
          <w:color w:val="EE0000"/>
          <w:lang w:val="en-US"/>
        </w:rPr>
        <w:t>Journal of Applied Psychology</w:t>
      </w:r>
      <w:r w:rsidRPr="00AD5BF6">
        <w:rPr>
          <w:color w:val="EE0000"/>
          <w:lang w:val="en-US"/>
        </w:rPr>
        <w:t>, 88(5), 879–903.</w:t>
      </w:r>
    </w:p>
    <w:p w14:paraId="168EB17E" w14:textId="514DB256" w:rsidR="00B53453" w:rsidRPr="00135843" w:rsidRDefault="00B53453" w:rsidP="00B53453">
      <w:pPr>
        <w:tabs>
          <w:tab w:val="left" w:pos="1459"/>
          <w:tab w:val="left" w:pos="1883"/>
          <w:tab w:val="left" w:pos="2775"/>
          <w:tab w:val="left" w:pos="4182"/>
          <w:tab w:val="left" w:pos="5192"/>
          <w:tab w:val="left" w:pos="6422"/>
          <w:tab w:val="left" w:pos="7651"/>
        </w:tabs>
        <w:ind w:left="238" w:right="89" w:firstLine="284"/>
        <w:jc w:val="both"/>
        <w:rPr>
          <w:lang w:val="en-US"/>
        </w:rPr>
      </w:pPr>
      <w:r w:rsidRPr="00B53453">
        <w:rPr>
          <w:lang w:val="en-US"/>
        </w:rPr>
        <w:t xml:space="preserve">Tomlinson, C. A. (2014). </w:t>
      </w:r>
      <w:r w:rsidRPr="00B53453">
        <w:rPr>
          <w:i/>
          <w:iCs/>
          <w:lang w:val="en-US"/>
        </w:rPr>
        <w:t>The differentiated classroom: Responding to the needs of all learners</w:t>
      </w:r>
      <w:r w:rsidRPr="00B53453">
        <w:rPr>
          <w:lang w:val="en-US"/>
        </w:rPr>
        <w:t xml:space="preserve"> (2nd ed.). </w:t>
      </w:r>
      <w:r w:rsidRPr="00135843">
        <w:rPr>
          <w:lang w:val="en-US"/>
        </w:rPr>
        <w:t>ASCD.</w:t>
      </w:r>
    </w:p>
    <w:p w14:paraId="4EFC8C0F" w14:textId="1B4990A7" w:rsidR="00E33D14" w:rsidRPr="00C57A3A" w:rsidRDefault="00B53453" w:rsidP="00C57A3A">
      <w:pPr>
        <w:tabs>
          <w:tab w:val="left" w:pos="1459"/>
          <w:tab w:val="left" w:pos="1883"/>
          <w:tab w:val="left" w:pos="2775"/>
          <w:tab w:val="left" w:pos="4182"/>
          <w:tab w:val="left" w:pos="5192"/>
          <w:tab w:val="left" w:pos="6422"/>
          <w:tab w:val="left" w:pos="7651"/>
        </w:tabs>
        <w:ind w:left="238" w:right="89" w:firstLine="284"/>
        <w:jc w:val="both"/>
        <w:rPr>
          <w:lang w:val="en-US"/>
        </w:rPr>
      </w:pPr>
      <w:r w:rsidRPr="00B53453">
        <w:rPr>
          <w:lang w:val="en-US"/>
        </w:rPr>
        <w:t xml:space="preserve">Vygotsky, L. S. (1978). </w:t>
      </w:r>
      <w:r w:rsidRPr="00B53453">
        <w:rPr>
          <w:i/>
          <w:iCs/>
          <w:lang w:val="en-US"/>
        </w:rPr>
        <w:t>Mind in society: The development of higher psychological processes</w:t>
      </w:r>
      <w:r w:rsidRPr="00B53453">
        <w:rPr>
          <w:lang w:val="en-US"/>
        </w:rPr>
        <w:t xml:space="preserve">. </w:t>
      </w:r>
      <w:r w:rsidRPr="00B53453">
        <w:t>Harvard University Press.</w:t>
      </w:r>
    </w:p>
    <w:sectPr w:rsidR="00E33D14" w:rsidRPr="00C57A3A">
      <w:headerReference w:type="default" r:id="rId18"/>
      <w:footerReference w:type="default" r:id="rId19"/>
      <w:pgSz w:w="11910" w:h="16840"/>
      <w:pgMar w:top="980" w:right="1700" w:bottom="1300" w:left="1559" w:header="709" w:footer="11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039C2" w14:textId="77777777" w:rsidR="00230A06" w:rsidRDefault="00230A06">
      <w:r>
        <w:separator/>
      </w:r>
    </w:p>
  </w:endnote>
  <w:endnote w:type="continuationSeparator" w:id="0">
    <w:p w14:paraId="0B5CCA36" w14:textId="77777777" w:rsidR="00230A06" w:rsidRDefault="00230A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altName w:val="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96D3A" w14:textId="73E75677" w:rsidR="00A3096A" w:rsidRDefault="00000000">
    <w:pPr>
      <w:pStyle w:val="a3"/>
      <w:spacing w:line="14" w:lineRule="auto"/>
      <w:ind w:left="0"/>
      <w:rPr>
        <w:sz w:val="20"/>
      </w:rPr>
    </w:pPr>
    <w:r>
      <w:rPr>
        <w:noProof/>
        <w:sz w:val="20"/>
      </w:rPr>
      <mc:AlternateContent>
        <mc:Choice Requires="wps">
          <w:drawing>
            <wp:anchor distT="0" distB="0" distL="0" distR="0" simplePos="0" relativeHeight="487082496" behindDoc="1" locked="0" layoutInCell="1" allowOverlap="1" wp14:anchorId="6927F51E" wp14:editId="0CED11B6">
              <wp:simplePos x="0" y="0"/>
              <wp:positionH relativeFrom="page">
                <wp:posOffset>2162810</wp:posOffset>
              </wp:positionH>
              <wp:positionV relativeFrom="page">
                <wp:posOffset>10026616</wp:posOffset>
              </wp:positionV>
              <wp:extent cx="3235960" cy="20891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35960" cy="208915"/>
                      </a:xfrm>
                      <a:prstGeom prst="rect">
                        <a:avLst/>
                      </a:prstGeom>
                    </wps:spPr>
                    <wps:txbx>
                      <w:txbxContent>
                        <w:p w14:paraId="354C8248" w14:textId="2D6FD91A" w:rsidR="00A3096A" w:rsidRPr="00B60A6E" w:rsidRDefault="00A3096A">
                          <w:pPr>
                            <w:spacing w:before="19"/>
                            <w:ind w:left="20"/>
                            <w:rPr>
                              <w:rFonts w:ascii="Cambria" w:hAnsi="Cambria"/>
                              <w:b/>
                              <w:i/>
                              <w:sz w:val="24"/>
                              <w:lang w:val="en-US"/>
                            </w:rPr>
                          </w:pPr>
                        </w:p>
                      </w:txbxContent>
                    </wps:txbx>
                    <wps:bodyPr wrap="square" lIns="0" tIns="0" rIns="0" bIns="0" rtlCol="0">
                      <a:noAutofit/>
                    </wps:bodyPr>
                  </wps:wsp>
                </a:graphicData>
              </a:graphic>
            </wp:anchor>
          </w:drawing>
        </mc:Choice>
        <mc:Fallback>
          <w:pict>
            <v:shapetype w14:anchorId="6927F51E" id="_x0000_t202" coordsize="21600,21600" o:spt="202" path="m,l,21600r21600,l21600,xe">
              <v:stroke joinstyle="miter"/>
              <v:path gradientshapeok="t" o:connecttype="rect"/>
            </v:shapetype>
            <v:shape id="Textbox 12" o:spid="_x0000_s1027" type="#_x0000_t202" style="position:absolute;margin-left:170.3pt;margin-top:789.5pt;width:254.8pt;height:16.45pt;z-index:-16233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" filled="f" stroked="f">
              <v:textbox inset="0,0,0,0">
                <w:txbxContent>
                  <w:p w14:paraId="354C8248" w14:textId="2D6FD91A" w:rsidR="00A3096A" w:rsidRPr="00B60A6E" w:rsidRDefault="00A3096A">
                    <w:pPr>
                      <w:spacing w:before="19"/>
                      <w:ind w:left="20"/>
                      <w:rPr>
                        <w:rFonts w:ascii="Cambria" w:hAnsi="Cambria"/>
                        <w:b/>
                        <w:i/>
                        <w:sz w:val="24"/>
                        <w:lang w:val="en-US"/>
                      </w:rPr>
                    </w:pPr>
                  </w:p>
                </w:txbxContent>
              </v:textbox>
              <w10:wrap anchorx="page" anchory="page"/>
            </v:shape>
          </w:pict>
        </mc:Fallback>
      </mc:AlternateContent>
    </w:r>
    <w:r>
      <w:rPr>
        <w:noProof/>
        <w:sz w:val="20"/>
      </w:rPr>
      <mc:AlternateContent>
        <mc:Choice Requires="wps">
          <w:drawing>
            <wp:anchor distT="0" distB="0" distL="0" distR="0" simplePos="0" relativeHeight="487083008" behindDoc="1" locked="0" layoutInCell="1" allowOverlap="1" wp14:anchorId="6219530D" wp14:editId="0093FAE9">
              <wp:simplePos x="0" y="0"/>
              <wp:positionH relativeFrom="page">
                <wp:posOffset>6803134</wp:posOffset>
              </wp:positionH>
              <wp:positionV relativeFrom="page">
                <wp:posOffset>10097972</wp:posOffset>
              </wp:positionV>
              <wp:extent cx="285750" cy="233679"/>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5750" cy="233679"/>
                      </a:xfrm>
                      <a:prstGeom prst="rect">
                        <a:avLst/>
                      </a:prstGeom>
                    </wps:spPr>
                    <wps:txbx>
                      <w:txbxContent>
                        <w:p w14:paraId="487D2C02" w14:textId="0CB07A0A" w:rsidR="00A3096A" w:rsidRDefault="00A3096A">
                          <w:pPr>
                            <w:spacing w:before="19"/>
                            <w:ind w:left="60"/>
                            <w:rPr>
                              <w:rFonts w:ascii="Cambria"/>
                              <w:sz w:val="28"/>
                            </w:rPr>
                          </w:pPr>
                        </w:p>
                      </w:txbxContent>
                    </wps:txbx>
                    <wps:bodyPr wrap="square" lIns="0" tIns="0" rIns="0" bIns="0" rtlCol="0">
                      <a:noAutofit/>
                    </wps:bodyPr>
                  </wps:wsp>
                </a:graphicData>
              </a:graphic>
            </wp:anchor>
          </w:drawing>
        </mc:Choice>
        <mc:Fallback>
          <w:pict>
            <v:shape w14:anchorId="6219530D" id="Textbox 13" o:spid="_x0000_s1028" type="#_x0000_t202" style="position:absolute;margin-left:535.7pt;margin-top:795.1pt;width:22.5pt;height:18.4pt;z-index:-16233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" filled="f" stroked="f">
              <v:textbox inset="0,0,0,0">
                <w:txbxContent>
                  <w:p w14:paraId="487D2C02" w14:textId="0CB07A0A" w:rsidR="00A3096A" w:rsidRDefault="00A3096A">
                    <w:pPr>
                      <w:spacing w:before="19"/>
                      <w:ind w:left="60"/>
                      <w:rPr>
                        <w:rFonts w:ascii="Cambria"/>
                        <w:sz w:val="28"/>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C4D15" w14:textId="77777777" w:rsidR="003706E5" w:rsidRDefault="003706E5">
    <w:pPr>
      <w:pStyle w:val="a3"/>
      <w:spacing w:line="14" w:lineRule="auto"/>
      <w:ind w:left="0"/>
      <w:rPr>
        <w:sz w:val="20"/>
      </w:rPr>
    </w:pPr>
    <w:r>
      <w:rPr>
        <w:noProof/>
        <w:sz w:val="20"/>
      </w:rPr>
      <mc:AlternateContent>
        <mc:Choice Requires="wps">
          <w:drawing>
            <wp:anchor distT="0" distB="0" distL="0" distR="0" simplePos="0" relativeHeight="487093760" behindDoc="1" locked="0" layoutInCell="1" allowOverlap="1" wp14:anchorId="5D37E05B" wp14:editId="43A6F4CD">
              <wp:simplePos x="0" y="0"/>
              <wp:positionH relativeFrom="page">
                <wp:posOffset>2162810</wp:posOffset>
              </wp:positionH>
              <wp:positionV relativeFrom="page">
                <wp:posOffset>10026616</wp:posOffset>
              </wp:positionV>
              <wp:extent cx="3235960" cy="208915"/>
              <wp:effectExtent l="0" t="0" r="0" b="0"/>
              <wp:wrapNone/>
              <wp:docPr id="554605100"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35960" cy="208915"/>
                      </a:xfrm>
                      <a:prstGeom prst="rect">
                        <a:avLst/>
                      </a:prstGeom>
                    </wps:spPr>
                    <wps:txbx>
                      <w:txbxContent>
                        <w:p w14:paraId="44DB9C8F" w14:textId="77777777" w:rsidR="003706E5" w:rsidRPr="00B60A6E" w:rsidRDefault="003706E5">
                          <w:pPr>
                            <w:spacing w:before="19"/>
                            <w:ind w:left="20"/>
                            <w:rPr>
                              <w:rFonts w:ascii="Cambria" w:hAnsi="Cambria"/>
                              <w:b/>
                              <w:i/>
                              <w:sz w:val="24"/>
                              <w:lang w:val="en-US"/>
                            </w:rPr>
                          </w:pPr>
                        </w:p>
                      </w:txbxContent>
                    </wps:txbx>
                    <wps:bodyPr wrap="square" lIns="0" tIns="0" rIns="0" bIns="0" rtlCol="0">
                      <a:noAutofit/>
                    </wps:bodyPr>
                  </wps:wsp>
                </a:graphicData>
              </a:graphic>
            </wp:anchor>
          </w:drawing>
        </mc:Choice>
        <mc:Fallback>
          <w:pict>
            <v:shapetype w14:anchorId="5D37E05B" id="_x0000_t202" coordsize="21600,21600" o:spt="202" path="m,l,21600r21600,l21600,xe">
              <v:stroke joinstyle="miter"/>
              <v:path gradientshapeok="t" o:connecttype="rect"/>
            </v:shapetype>
            <v:shape id="_x0000_s1030" type="#_x0000_t202" style="position:absolute;margin-left:170.3pt;margin-top:789.5pt;width:254.8pt;height:16.45pt;z-index:-16222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" filled="f" stroked="f">
              <v:textbox inset="0,0,0,0">
                <w:txbxContent>
                  <w:p w14:paraId="44DB9C8F" w14:textId="77777777" w:rsidR="003706E5" w:rsidRPr="00B60A6E" w:rsidRDefault="003706E5">
                    <w:pPr>
                      <w:spacing w:before="19"/>
                      <w:ind w:left="20"/>
                      <w:rPr>
                        <w:rFonts w:ascii="Cambria" w:hAnsi="Cambria"/>
                        <w:b/>
                        <w:i/>
                        <w:sz w:val="24"/>
                        <w:lang w:val="en-US"/>
                      </w:rPr>
                    </w:pPr>
                  </w:p>
                </w:txbxContent>
              </v:textbox>
              <w10:wrap anchorx="page" anchory="page"/>
            </v:shape>
          </w:pict>
        </mc:Fallback>
      </mc:AlternateContent>
    </w:r>
    <w:r>
      <w:rPr>
        <w:noProof/>
        <w:sz w:val="20"/>
      </w:rPr>
      <mc:AlternateContent>
        <mc:Choice Requires="wps">
          <w:drawing>
            <wp:anchor distT="0" distB="0" distL="0" distR="0" simplePos="0" relativeHeight="487094784" behindDoc="1" locked="0" layoutInCell="1" allowOverlap="1" wp14:anchorId="770A2BF8" wp14:editId="5C45BE94">
              <wp:simplePos x="0" y="0"/>
              <wp:positionH relativeFrom="page">
                <wp:posOffset>6803134</wp:posOffset>
              </wp:positionH>
              <wp:positionV relativeFrom="page">
                <wp:posOffset>10097972</wp:posOffset>
              </wp:positionV>
              <wp:extent cx="285750" cy="233679"/>
              <wp:effectExtent l="0" t="0" r="0" b="0"/>
              <wp:wrapNone/>
              <wp:docPr id="985723319"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5750" cy="233679"/>
                      </a:xfrm>
                      <a:prstGeom prst="rect">
                        <a:avLst/>
                      </a:prstGeom>
                    </wps:spPr>
                    <wps:txbx>
                      <w:txbxContent>
                        <w:p w14:paraId="25CAA6A6" w14:textId="77777777" w:rsidR="003706E5" w:rsidRDefault="003706E5">
                          <w:pPr>
                            <w:spacing w:before="19"/>
                            <w:ind w:left="60"/>
                            <w:rPr>
                              <w:rFonts w:ascii="Cambria"/>
                              <w:sz w:val="28"/>
                            </w:rPr>
                          </w:pPr>
                        </w:p>
                      </w:txbxContent>
                    </wps:txbx>
                    <wps:bodyPr wrap="square" lIns="0" tIns="0" rIns="0" bIns="0" rtlCol="0">
                      <a:noAutofit/>
                    </wps:bodyPr>
                  </wps:wsp>
                </a:graphicData>
              </a:graphic>
            </wp:anchor>
          </w:drawing>
        </mc:Choice>
        <mc:Fallback>
          <w:pict>
            <v:shape w14:anchorId="770A2BF8" id="_x0000_s1031" type="#_x0000_t202" style="position:absolute;margin-left:535.7pt;margin-top:795.1pt;width:22.5pt;height:18.4pt;z-index:-16221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" filled="f" stroked="f">
              <v:textbox inset="0,0,0,0">
                <w:txbxContent>
                  <w:p w14:paraId="25CAA6A6" w14:textId="77777777" w:rsidR="003706E5" w:rsidRDefault="003706E5">
                    <w:pPr>
                      <w:spacing w:before="19"/>
                      <w:ind w:left="60"/>
                      <w:rPr>
                        <w:rFonts w:ascii="Cambria"/>
                        <w:sz w:val="28"/>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BD84E" w14:textId="13295F9B" w:rsidR="00A3096A" w:rsidRDefault="00000000">
    <w:pPr>
      <w:pStyle w:val="a3"/>
      <w:spacing w:line="14" w:lineRule="auto"/>
      <w:ind w:left="0"/>
      <w:rPr>
        <w:sz w:val="20"/>
      </w:rPr>
    </w:pPr>
    <w:r>
      <w:rPr>
        <w:noProof/>
        <w:sz w:val="20"/>
      </w:rPr>
      <mc:AlternateContent>
        <mc:Choice Requires="wps">
          <w:drawing>
            <wp:anchor distT="0" distB="0" distL="0" distR="0" simplePos="0" relativeHeight="487090688" behindDoc="1" locked="0" layoutInCell="1" allowOverlap="1" wp14:anchorId="1E7E33CC" wp14:editId="35457415">
              <wp:simplePos x="0" y="0"/>
              <wp:positionH relativeFrom="page">
                <wp:posOffset>2162810</wp:posOffset>
              </wp:positionH>
              <wp:positionV relativeFrom="page">
                <wp:posOffset>10026616</wp:posOffset>
              </wp:positionV>
              <wp:extent cx="3235960" cy="208915"/>
              <wp:effectExtent l="0" t="0" r="0" b="0"/>
              <wp:wrapNone/>
              <wp:docPr id="52"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35960" cy="208915"/>
                      </a:xfrm>
                      <a:prstGeom prst="rect">
                        <a:avLst/>
                      </a:prstGeom>
                    </wps:spPr>
                    <wps:txbx>
                      <w:txbxContent>
                        <w:p w14:paraId="6F659CBA" w14:textId="2AC52EF7" w:rsidR="00A3096A" w:rsidRPr="00B60A6E" w:rsidRDefault="00A3096A">
                          <w:pPr>
                            <w:spacing w:before="19"/>
                            <w:ind w:left="20"/>
                            <w:rPr>
                              <w:rFonts w:ascii="Cambria" w:hAnsi="Cambria"/>
                              <w:b/>
                              <w:i/>
                              <w:sz w:val="24"/>
                              <w:lang w:val="en-US"/>
                            </w:rPr>
                          </w:pPr>
                        </w:p>
                      </w:txbxContent>
                    </wps:txbx>
                    <wps:bodyPr wrap="square" lIns="0" tIns="0" rIns="0" bIns="0" rtlCol="0">
                      <a:noAutofit/>
                    </wps:bodyPr>
                  </wps:wsp>
                </a:graphicData>
              </a:graphic>
            </wp:anchor>
          </w:drawing>
        </mc:Choice>
        <mc:Fallback>
          <w:pict>
            <v:shapetype w14:anchorId="1E7E33CC" id="_x0000_t202" coordsize="21600,21600" o:spt="202" path="m,l,21600r21600,l21600,xe">
              <v:stroke joinstyle="miter"/>
              <v:path gradientshapeok="t" o:connecttype="rect"/>
            </v:shapetype>
            <v:shape id="Textbox 52" o:spid="_x0000_s1033" type="#_x0000_t202" style="position:absolute;margin-left:170.3pt;margin-top:789.5pt;width:254.8pt;height:16.45pt;z-index:-16225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" filled="f" stroked="f">
              <v:textbox inset="0,0,0,0">
                <w:txbxContent>
                  <w:p w14:paraId="6F659CBA" w14:textId="2AC52EF7" w:rsidR="00A3096A" w:rsidRPr="00B60A6E" w:rsidRDefault="00A3096A">
                    <w:pPr>
                      <w:spacing w:before="19"/>
                      <w:ind w:left="20"/>
                      <w:rPr>
                        <w:rFonts w:ascii="Cambria" w:hAnsi="Cambria"/>
                        <w:b/>
                        <w:i/>
                        <w:sz w:val="24"/>
                        <w:lang w:val="en-US"/>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154E1" w14:textId="77777777" w:rsidR="00230A06" w:rsidRDefault="00230A06">
      <w:r>
        <w:separator/>
      </w:r>
    </w:p>
  </w:footnote>
  <w:footnote w:type="continuationSeparator" w:id="0">
    <w:p w14:paraId="0D086A96" w14:textId="77777777" w:rsidR="00230A06" w:rsidRDefault="00230A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2A084" w14:textId="0392C51F" w:rsidR="00A3096A" w:rsidRDefault="00000000">
    <w:pPr>
      <w:pStyle w:val="a3"/>
      <w:spacing w:line="14" w:lineRule="auto"/>
      <w:ind w:left="0"/>
      <w:rPr>
        <w:sz w:val="20"/>
      </w:rPr>
    </w:pPr>
    <w:r>
      <w:rPr>
        <w:noProof/>
        <w:sz w:val="20"/>
      </w:rPr>
      <mc:AlternateContent>
        <mc:Choice Requires="wps">
          <w:drawing>
            <wp:anchor distT="0" distB="0" distL="0" distR="0" simplePos="0" relativeHeight="487080448" behindDoc="1" locked="0" layoutInCell="1" allowOverlap="1" wp14:anchorId="57E68CB4" wp14:editId="30A0DF53">
              <wp:simplePos x="0" y="0"/>
              <wp:positionH relativeFrom="page">
                <wp:posOffset>2131567</wp:posOffset>
              </wp:positionH>
              <wp:positionV relativeFrom="page">
                <wp:posOffset>437608</wp:posOffset>
              </wp:positionV>
              <wp:extent cx="3298190" cy="20447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98190" cy="204470"/>
                      </a:xfrm>
                      <a:prstGeom prst="rect">
                        <a:avLst/>
                      </a:prstGeom>
                    </wps:spPr>
                    <wps:txbx>
                      <w:txbxContent>
                        <w:p w14:paraId="26B72CAF" w14:textId="53C339F1" w:rsidR="00A3096A" w:rsidRDefault="00A3096A">
                          <w:pPr>
                            <w:spacing w:before="20"/>
                            <w:ind w:left="20"/>
                            <w:rPr>
                              <w:rFonts w:ascii="Cambria"/>
                              <w:b/>
                              <w:i/>
                              <w:sz w:val="24"/>
                            </w:rPr>
                          </w:pPr>
                        </w:p>
                      </w:txbxContent>
                    </wps:txbx>
                    <wps:bodyPr wrap="square" lIns="0" tIns="0" rIns="0" bIns="0" rtlCol="0">
                      <a:noAutofit/>
                    </wps:bodyPr>
                  </wps:wsp>
                </a:graphicData>
              </a:graphic>
            </wp:anchor>
          </w:drawing>
        </mc:Choice>
        <mc:Fallback>
          <w:pict>
            <v:shapetype w14:anchorId="57E68CB4" id="_x0000_t202" coordsize="21600,21600" o:spt="202" path="m,l,21600r21600,l21600,xe">
              <v:stroke joinstyle="miter"/>
              <v:path gradientshapeok="t" o:connecttype="rect"/>
            </v:shapetype>
            <v:shape id="Textbox 8" o:spid="_x0000_s1026" type="#_x0000_t202" style="position:absolute;margin-left:167.85pt;margin-top:34.45pt;width:259.7pt;height:16.1pt;z-index:-16236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" filled="f" stroked="f">
              <v:textbox inset="0,0,0,0">
                <w:txbxContent>
                  <w:p w14:paraId="26B72CAF" w14:textId="53C339F1" w:rsidR="00A3096A" w:rsidRDefault="00A3096A">
                    <w:pPr>
                      <w:spacing w:before="20"/>
                      <w:ind w:left="20"/>
                      <w:rPr>
                        <w:rFonts w:ascii="Cambria"/>
                        <w:b/>
                        <w:i/>
                        <w:sz w:val="24"/>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F833F" w14:textId="77777777" w:rsidR="003706E5" w:rsidRDefault="003706E5">
    <w:pPr>
      <w:pStyle w:val="a3"/>
      <w:spacing w:line="14" w:lineRule="auto"/>
      <w:ind w:left="0"/>
      <w:rPr>
        <w:sz w:val="20"/>
      </w:rPr>
    </w:pPr>
    <w:r>
      <w:rPr>
        <w:noProof/>
        <w:sz w:val="20"/>
      </w:rPr>
      <mc:AlternateContent>
        <mc:Choice Requires="wps">
          <w:drawing>
            <wp:anchor distT="0" distB="0" distL="0" distR="0" simplePos="0" relativeHeight="487092736" behindDoc="1" locked="0" layoutInCell="1" allowOverlap="1" wp14:anchorId="4EB9C60F" wp14:editId="47EFFFDF">
              <wp:simplePos x="0" y="0"/>
              <wp:positionH relativeFrom="page">
                <wp:posOffset>2131567</wp:posOffset>
              </wp:positionH>
              <wp:positionV relativeFrom="page">
                <wp:posOffset>437608</wp:posOffset>
              </wp:positionV>
              <wp:extent cx="3298190" cy="204470"/>
              <wp:effectExtent l="0" t="0" r="0" b="0"/>
              <wp:wrapNone/>
              <wp:docPr id="225575403"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98190" cy="204470"/>
                      </a:xfrm>
                      <a:prstGeom prst="rect">
                        <a:avLst/>
                      </a:prstGeom>
                    </wps:spPr>
                    <wps:txbx>
                      <w:txbxContent>
                        <w:p w14:paraId="223420D0" w14:textId="77777777" w:rsidR="003706E5" w:rsidRDefault="003706E5">
                          <w:pPr>
                            <w:spacing w:before="20"/>
                            <w:ind w:left="20"/>
                            <w:rPr>
                              <w:rFonts w:ascii="Cambria"/>
                              <w:b/>
                              <w:i/>
                              <w:sz w:val="24"/>
                            </w:rPr>
                          </w:pPr>
                        </w:p>
                      </w:txbxContent>
                    </wps:txbx>
                    <wps:bodyPr wrap="square" lIns="0" tIns="0" rIns="0" bIns="0" rtlCol="0">
                      <a:noAutofit/>
                    </wps:bodyPr>
                  </wps:wsp>
                </a:graphicData>
              </a:graphic>
            </wp:anchor>
          </w:drawing>
        </mc:Choice>
        <mc:Fallback>
          <w:pict>
            <v:shapetype w14:anchorId="4EB9C60F" id="_x0000_t202" coordsize="21600,21600" o:spt="202" path="m,l,21600r21600,l21600,xe">
              <v:stroke joinstyle="miter"/>
              <v:path gradientshapeok="t" o:connecttype="rect"/>
            </v:shapetype>
            <v:shape id="_x0000_s1029" type="#_x0000_t202" style="position:absolute;margin-left:167.85pt;margin-top:34.45pt;width:259.7pt;height:16.1pt;z-index:-16223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" filled="f" stroked="f">
              <v:textbox inset="0,0,0,0">
                <w:txbxContent>
                  <w:p w14:paraId="223420D0" w14:textId="77777777" w:rsidR="003706E5" w:rsidRDefault="003706E5">
                    <w:pPr>
                      <w:spacing w:before="20"/>
                      <w:ind w:left="20"/>
                      <w:rPr>
                        <w:rFonts w:ascii="Cambria"/>
                        <w:b/>
                        <w:i/>
                        <w:sz w:val="24"/>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9A93E" w14:textId="77777777" w:rsidR="00A3096A" w:rsidRDefault="00000000">
    <w:pPr>
      <w:pStyle w:val="a3"/>
      <w:spacing w:line="14" w:lineRule="auto"/>
      <w:ind w:left="0"/>
      <w:rPr>
        <w:sz w:val="20"/>
      </w:rPr>
    </w:pPr>
    <w:r>
      <w:rPr>
        <w:noProof/>
        <w:sz w:val="20"/>
      </w:rPr>
      <mc:AlternateContent>
        <mc:Choice Requires="wps">
          <w:drawing>
            <wp:anchor distT="0" distB="0" distL="0" distR="0" simplePos="0" relativeHeight="487088640" behindDoc="1" locked="0" layoutInCell="1" allowOverlap="1" wp14:anchorId="01930830" wp14:editId="00ADD576">
              <wp:simplePos x="0" y="0"/>
              <wp:positionH relativeFrom="page">
                <wp:posOffset>1109725</wp:posOffset>
              </wp:positionH>
              <wp:positionV relativeFrom="page">
                <wp:posOffset>437608</wp:posOffset>
              </wp:positionV>
              <wp:extent cx="5342255" cy="204470"/>
              <wp:effectExtent l="0" t="0" r="0" b="0"/>
              <wp:wrapNone/>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42255" cy="204470"/>
                      </a:xfrm>
                      <a:prstGeom prst="rect">
                        <a:avLst/>
                      </a:prstGeom>
                    </wps:spPr>
                    <wps:txbx>
                      <w:txbxContent>
                        <w:p w14:paraId="66A52C36" w14:textId="52ECA93B" w:rsidR="00A3096A" w:rsidRPr="00B60A6E" w:rsidRDefault="00A3096A">
                          <w:pPr>
                            <w:tabs>
                              <w:tab w:val="left" w:pos="1629"/>
                              <w:tab w:val="left" w:pos="8392"/>
                            </w:tabs>
                            <w:spacing w:before="20"/>
                            <w:ind w:left="20"/>
                            <w:rPr>
                              <w:rFonts w:ascii="Cambria"/>
                              <w:b/>
                              <w:i/>
                              <w:sz w:val="24"/>
                              <w:lang w:val="en-US"/>
                            </w:rPr>
                          </w:pPr>
                        </w:p>
                      </w:txbxContent>
                    </wps:txbx>
                    <wps:bodyPr wrap="square" lIns="0" tIns="0" rIns="0" bIns="0" rtlCol="0">
                      <a:noAutofit/>
                    </wps:bodyPr>
                  </wps:wsp>
                </a:graphicData>
              </a:graphic>
            </wp:anchor>
          </w:drawing>
        </mc:Choice>
        <mc:Fallback>
          <w:pict>
            <v:shapetype w14:anchorId="01930830" id="_x0000_t202" coordsize="21600,21600" o:spt="202" path="m,l,21600r21600,l21600,xe">
              <v:stroke joinstyle="miter"/>
              <v:path gradientshapeok="t" o:connecttype="rect"/>
            </v:shapetype>
            <v:shape id="Textbox 48" o:spid="_x0000_s1032" type="#_x0000_t202" style="position:absolute;margin-left:87.4pt;margin-top:34.45pt;width:420.65pt;height:16.1pt;z-index:-16227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" filled="f" stroked="f">
              <v:textbox inset="0,0,0,0">
                <w:txbxContent>
                  <w:p w14:paraId="66A52C36" w14:textId="52ECA93B" w:rsidR="00A3096A" w:rsidRPr="00B60A6E" w:rsidRDefault="00A3096A">
                    <w:pPr>
                      <w:tabs>
                        <w:tab w:val="left" w:pos="1629"/>
                        <w:tab w:val="left" w:pos="8392"/>
                      </w:tabs>
                      <w:spacing w:before="20"/>
                      <w:ind w:left="20"/>
                      <w:rPr>
                        <w:rFonts w:ascii="Cambria"/>
                        <w:b/>
                        <w:i/>
                        <w:sz w:val="24"/>
                        <w:lang w:val="en-US"/>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22CDD"/>
    <w:multiLevelType w:val="hybridMultilevel"/>
    <w:tmpl w:val="9EF811F0"/>
    <w:lvl w:ilvl="0" w:tplc="0408000D">
      <w:start w:val="1"/>
      <w:numFmt w:val="bullet"/>
      <w:lvlText w:val=""/>
      <w:lvlJc w:val="left"/>
      <w:pPr>
        <w:ind w:left="958" w:hanging="360"/>
      </w:pPr>
      <w:rPr>
        <w:rFonts w:ascii="Wingdings" w:hAnsi="Wingdings" w:hint="default"/>
      </w:rPr>
    </w:lvl>
    <w:lvl w:ilvl="1" w:tplc="04080003" w:tentative="1">
      <w:start w:val="1"/>
      <w:numFmt w:val="bullet"/>
      <w:lvlText w:val="o"/>
      <w:lvlJc w:val="left"/>
      <w:pPr>
        <w:ind w:left="1678" w:hanging="360"/>
      </w:pPr>
      <w:rPr>
        <w:rFonts w:ascii="Courier New" w:hAnsi="Courier New" w:cs="Courier New" w:hint="default"/>
      </w:rPr>
    </w:lvl>
    <w:lvl w:ilvl="2" w:tplc="04080005" w:tentative="1">
      <w:start w:val="1"/>
      <w:numFmt w:val="bullet"/>
      <w:lvlText w:val=""/>
      <w:lvlJc w:val="left"/>
      <w:pPr>
        <w:ind w:left="2398" w:hanging="360"/>
      </w:pPr>
      <w:rPr>
        <w:rFonts w:ascii="Wingdings" w:hAnsi="Wingdings" w:hint="default"/>
      </w:rPr>
    </w:lvl>
    <w:lvl w:ilvl="3" w:tplc="04080001" w:tentative="1">
      <w:start w:val="1"/>
      <w:numFmt w:val="bullet"/>
      <w:lvlText w:val=""/>
      <w:lvlJc w:val="left"/>
      <w:pPr>
        <w:ind w:left="3118" w:hanging="360"/>
      </w:pPr>
      <w:rPr>
        <w:rFonts w:ascii="Symbol" w:hAnsi="Symbol" w:hint="default"/>
      </w:rPr>
    </w:lvl>
    <w:lvl w:ilvl="4" w:tplc="04080003" w:tentative="1">
      <w:start w:val="1"/>
      <w:numFmt w:val="bullet"/>
      <w:lvlText w:val="o"/>
      <w:lvlJc w:val="left"/>
      <w:pPr>
        <w:ind w:left="3838" w:hanging="360"/>
      </w:pPr>
      <w:rPr>
        <w:rFonts w:ascii="Courier New" w:hAnsi="Courier New" w:cs="Courier New" w:hint="default"/>
      </w:rPr>
    </w:lvl>
    <w:lvl w:ilvl="5" w:tplc="04080005" w:tentative="1">
      <w:start w:val="1"/>
      <w:numFmt w:val="bullet"/>
      <w:lvlText w:val=""/>
      <w:lvlJc w:val="left"/>
      <w:pPr>
        <w:ind w:left="4558" w:hanging="360"/>
      </w:pPr>
      <w:rPr>
        <w:rFonts w:ascii="Wingdings" w:hAnsi="Wingdings" w:hint="default"/>
      </w:rPr>
    </w:lvl>
    <w:lvl w:ilvl="6" w:tplc="04080001" w:tentative="1">
      <w:start w:val="1"/>
      <w:numFmt w:val="bullet"/>
      <w:lvlText w:val=""/>
      <w:lvlJc w:val="left"/>
      <w:pPr>
        <w:ind w:left="5278" w:hanging="360"/>
      </w:pPr>
      <w:rPr>
        <w:rFonts w:ascii="Symbol" w:hAnsi="Symbol" w:hint="default"/>
      </w:rPr>
    </w:lvl>
    <w:lvl w:ilvl="7" w:tplc="04080003" w:tentative="1">
      <w:start w:val="1"/>
      <w:numFmt w:val="bullet"/>
      <w:lvlText w:val="o"/>
      <w:lvlJc w:val="left"/>
      <w:pPr>
        <w:ind w:left="5998" w:hanging="360"/>
      </w:pPr>
      <w:rPr>
        <w:rFonts w:ascii="Courier New" w:hAnsi="Courier New" w:cs="Courier New" w:hint="default"/>
      </w:rPr>
    </w:lvl>
    <w:lvl w:ilvl="8" w:tplc="04080005" w:tentative="1">
      <w:start w:val="1"/>
      <w:numFmt w:val="bullet"/>
      <w:lvlText w:val=""/>
      <w:lvlJc w:val="left"/>
      <w:pPr>
        <w:ind w:left="6718" w:hanging="360"/>
      </w:pPr>
      <w:rPr>
        <w:rFonts w:ascii="Wingdings" w:hAnsi="Wingdings" w:hint="default"/>
      </w:rPr>
    </w:lvl>
  </w:abstractNum>
  <w:abstractNum w:abstractNumId="1" w15:restartNumberingAfterBreak="0">
    <w:nsid w:val="3223215B"/>
    <w:multiLevelType w:val="hybridMultilevel"/>
    <w:tmpl w:val="D4F442F8"/>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36F17076"/>
    <w:multiLevelType w:val="hybridMultilevel"/>
    <w:tmpl w:val="681ED5D4"/>
    <w:lvl w:ilvl="0" w:tplc="0408000D">
      <w:start w:val="1"/>
      <w:numFmt w:val="bullet"/>
      <w:lvlText w:val=""/>
      <w:lvlJc w:val="left"/>
      <w:pPr>
        <w:ind w:left="958" w:hanging="360"/>
      </w:pPr>
      <w:rPr>
        <w:rFonts w:ascii="Wingdings" w:hAnsi="Wingdings" w:hint="default"/>
      </w:rPr>
    </w:lvl>
    <w:lvl w:ilvl="1" w:tplc="04080003" w:tentative="1">
      <w:start w:val="1"/>
      <w:numFmt w:val="bullet"/>
      <w:lvlText w:val="o"/>
      <w:lvlJc w:val="left"/>
      <w:pPr>
        <w:ind w:left="1678" w:hanging="360"/>
      </w:pPr>
      <w:rPr>
        <w:rFonts w:ascii="Courier New" w:hAnsi="Courier New" w:cs="Courier New" w:hint="default"/>
      </w:rPr>
    </w:lvl>
    <w:lvl w:ilvl="2" w:tplc="04080005" w:tentative="1">
      <w:start w:val="1"/>
      <w:numFmt w:val="bullet"/>
      <w:lvlText w:val=""/>
      <w:lvlJc w:val="left"/>
      <w:pPr>
        <w:ind w:left="2398" w:hanging="360"/>
      </w:pPr>
      <w:rPr>
        <w:rFonts w:ascii="Wingdings" w:hAnsi="Wingdings" w:hint="default"/>
      </w:rPr>
    </w:lvl>
    <w:lvl w:ilvl="3" w:tplc="04080001" w:tentative="1">
      <w:start w:val="1"/>
      <w:numFmt w:val="bullet"/>
      <w:lvlText w:val=""/>
      <w:lvlJc w:val="left"/>
      <w:pPr>
        <w:ind w:left="3118" w:hanging="360"/>
      </w:pPr>
      <w:rPr>
        <w:rFonts w:ascii="Symbol" w:hAnsi="Symbol" w:hint="default"/>
      </w:rPr>
    </w:lvl>
    <w:lvl w:ilvl="4" w:tplc="04080003" w:tentative="1">
      <w:start w:val="1"/>
      <w:numFmt w:val="bullet"/>
      <w:lvlText w:val="o"/>
      <w:lvlJc w:val="left"/>
      <w:pPr>
        <w:ind w:left="3838" w:hanging="360"/>
      </w:pPr>
      <w:rPr>
        <w:rFonts w:ascii="Courier New" w:hAnsi="Courier New" w:cs="Courier New" w:hint="default"/>
      </w:rPr>
    </w:lvl>
    <w:lvl w:ilvl="5" w:tplc="04080005" w:tentative="1">
      <w:start w:val="1"/>
      <w:numFmt w:val="bullet"/>
      <w:lvlText w:val=""/>
      <w:lvlJc w:val="left"/>
      <w:pPr>
        <w:ind w:left="4558" w:hanging="360"/>
      </w:pPr>
      <w:rPr>
        <w:rFonts w:ascii="Wingdings" w:hAnsi="Wingdings" w:hint="default"/>
      </w:rPr>
    </w:lvl>
    <w:lvl w:ilvl="6" w:tplc="04080001" w:tentative="1">
      <w:start w:val="1"/>
      <w:numFmt w:val="bullet"/>
      <w:lvlText w:val=""/>
      <w:lvlJc w:val="left"/>
      <w:pPr>
        <w:ind w:left="5278" w:hanging="360"/>
      </w:pPr>
      <w:rPr>
        <w:rFonts w:ascii="Symbol" w:hAnsi="Symbol" w:hint="default"/>
      </w:rPr>
    </w:lvl>
    <w:lvl w:ilvl="7" w:tplc="04080003" w:tentative="1">
      <w:start w:val="1"/>
      <w:numFmt w:val="bullet"/>
      <w:lvlText w:val="o"/>
      <w:lvlJc w:val="left"/>
      <w:pPr>
        <w:ind w:left="5998" w:hanging="360"/>
      </w:pPr>
      <w:rPr>
        <w:rFonts w:ascii="Courier New" w:hAnsi="Courier New" w:cs="Courier New" w:hint="default"/>
      </w:rPr>
    </w:lvl>
    <w:lvl w:ilvl="8" w:tplc="04080005" w:tentative="1">
      <w:start w:val="1"/>
      <w:numFmt w:val="bullet"/>
      <w:lvlText w:val=""/>
      <w:lvlJc w:val="left"/>
      <w:pPr>
        <w:ind w:left="6718" w:hanging="360"/>
      </w:pPr>
      <w:rPr>
        <w:rFonts w:ascii="Wingdings" w:hAnsi="Wingdings" w:hint="default"/>
      </w:rPr>
    </w:lvl>
  </w:abstractNum>
  <w:abstractNum w:abstractNumId="3" w15:restartNumberingAfterBreak="0">
    <w:nsid w:val="39F77EFE"/>
    <w:multiLevelType w:val="hybridMultilevel"/>
    <w:tmpl w:val="5D4C80E8"/>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436248C9"/>
    <w:multiLevelType w:val="hybridMultilevel"/>
    <w:tmpl w:val="4A389464"/>
    <w:lvl w:ilvl="0" w:tplc="2828FB6C">
      <w:start w:val="12"/>
      <w:numFmt w:val="decimal"/>
      <w:lvlText w:val="%1."/>
      <w:lvlJc w:val="left"/>
      <w:pPr>
        <w:ind w:left="346" w:hanging="327"/>
        <w:jc w:val="right"/>
      </w:pPr>
      <w:rPr>
        <w:rFonts w:ascii="Calibri" w:eastAsia="Calibri" w:hAnsi="Calibri" w:cs="Calibri" w:hint="default"/>
        <w:b w:val="0"/>
        <w:bCs w:val="0"/>
        <w:i w:val="0"/>
        <w:iCs w:val="0"/>
        <w:spacing w:val="-1"/>
        <w:w w:val="99"/>
        <w:sz w:val="22"/>
        <w:szCs w:val="22"/>
        <w:lang w:val="el-GR" w:eastAsia="en-US" w:bidi="ar-SA"/>
      </w:rPr>
    </w:lvl>
    <w:lvl w:ilvl="1" w:tplc="FD0EB946">
      <w:numFmt w:val="bullet"/>
      <w:lvlText w:val="•"/>
      <w:lvlJc w:val="left"/>
      <w:pPr>
        <w:ind w:left="762" w:hanging="327"/>
      </w:pPr>
      <w:rPr>
        <w:rFonts w:hint="default"/>
        <w:lang w:val="el-GR" w:eastAsia="en-US" w:bidi="ar-SA"/>
      </w:rPr>
    </w:lvl>
    <w:lvl w:ilvl="2" w:tplc="4F8ACB08">
      <w:numFmt w:val="bullet"/>
      <w:lvlText w:val="•"/>
      <w:lvlJc w:val="left"/>
      <w:pPr>
        <w:ind w:left="1184" w:hanging="327"/>
      </w:pPr>
      <w:rPr>
        <w:rFonts w:hint="default"/>
        <w:lang w:val="el-GR" w:eastAsia="en-US" w:bidi="ar-SA"/>
      </w:rPr>
    </w:lvl>
    <w:lvl w:ilvl="3" w:tplc="AA5E7DF8">
      <w:numFmt w:val="bullet"/>
      <w:lvlText w:val="•"/>
      <w:lvlJc w:val="left"/>
      <w:pPr>
        <w:ind w:left="1607" w:hanging="327"/>
      </w:pPr>
      <w:rPr>
        <w:rFonts w:hint="default"/>
        <w:lang w:val="el-GR" w:eastAsia="en-US" w:bidi="ar-SA"/>
      </w:rPr>
    </w:lvl>
    <w:lvl w:ilvl="4" w:tplc="33F80244">
      <w:numFmt w:val="bullet"/>
      <w:lvlText w:val="•"/>
      <w:lvlJc w:val="left"/>
      <w:pPr>
        <w:ind w:left="2029" w:hanging="327"/>
      </w:pPr>
      <w:rPr>
        <w:rFonts w:hint="default"/>
        <w:lang w:val="el-GR" w:eastAsia="en-US" w:bidi="ar-SA"/>
      </w:rPr>
    </w:lvl>
    <w:lvl w:ilvl="5" w:tplc="602873AC">
      <w:numFmt w:val="bullet"/>
      <w:lvlText w:val="•"/>
      <w:lvlJc w:val="left"/>
      <w:pPr>
        <w:ind w:left="2452" w:hanging="327"/>
      </w:pPr>
      <w:rPr>
        <w:rFonts w:hint="default"/>
        <w:lang w:val="el-GR" w:eastAsia="en-US" w:bidi="ar-SA"/>
      </w:rPr>
    </w:lvl>
    <w:lvl w:ilvl="6" w:tplc="1A30F482">
      <w:numFmt w:val="bullet"/>
      <w:lvlText w:val="•"/>
      <w:lvlJc w:val="left"/>
      <w:pPr>
        <w:ind w:left="2874" w:hanging="327"/>
      </w:pPr>
      <w:rPr>
        <w:rFonts w:hint="default"/>
        <w:lang w:val="el-GR" w:eastAsia="en-US" w:bidi="ar-SA"/>
      </w:rPr>
    </w:lvl>
    <w:lvl w:ilvl="7" w:tplc="AE5ED68E">
      <w:numFmt w:val="bullet"/>
      <w:lvlText w:val="•"/>
      <w:lvlJc w:val="left"/>
      <w:pPr>
        <w:ind w:left="3297" w:hanging="327"/>
      </w:pPr>
      <w:rPr>
        <w:rFonts w:hint="default"/>
        <w:lang w:val="el-GR" w:eastAsia="en-US" w:bidi="ar-SA"/>
      </w:rPr>
    </w:lvl>
    <w:lvl w:ilvl="8" w:tplc="9F42490C">
      <w:numFmt w:val="bullet"/>
      <w:lvlText w:val="•"/>
      <w:lvlJc w:val="left"/>
      <w:pPr>
        <w:ind w:left="3719" w:hanging="327"/>
      </w:pPr>
      <w:rPr>
        <w:rFonts w:hint="default"/>
        <w:lang w:val="el-GR" w:eastAsia="en-US" w:bidi="ar-SA"/>
      </w:rPr>
    </w:lvl>
  </w:abstractNum>
  <w:abstractNum w:abstractNumId="5" w15:restartNumberingAfterBreak="0">
    <w:nsid w:val="48A64199"/>
    <w:multiLevelType w:val="hybridMultilevel"/>
    <w:tmpl w:val="14C08422"/>
    <w:lvl w:ilvl="0" w:tplc="0408000D">
      <w:start w:val="1"/>
      <w:numFmt w:val="bullet"/>
      <w:lvlText w:val=""/>
      <w:lvlJc w:val="left"/>
      <w:pPr>
        <w:ind w:left="958" w:hanging="360"/>
      </w:pPr>
      <w:rPr>
        <w:rFonts w:ascii="Wingdings" w:hAnsi="Wingdings" w:hint="default"/>
      </w:rPr>
    </w:lvl>
    <w:lvl w:ilvl="1" w:tplc="04080003" w:tentative="1">
      <w:start w:val="1"/>
      <w:numFmt w:val="bullet"/>
      <w:lvlText w:val="o"/>
      <w:lvlJc w:val="left"/>
      <w:pPr>
        <w:ind w:left="1678" w:hanging="360"/>
      </w:pPr>
      <w:rPr>
        <w:rFonts w:ascii="Courier New" w:hAnsi="Courier New" w:cs="Courier New" w:hint="default"/>
      </w:rPr>
    </w:lvl>
    <w:lvl w:ilvl="2" w:tplc="04080005" w:tentative="1">
      <w:start w:val="1"/>
      <w:numFmt w:val="bullet"/>
      <w:lvlText w:val=""/>
      <w:lvlJc w:val="left"/>
      <w:pPr>
        <w:ind w:left="2398" w:hanging="360"/>
      </w:pPr>
      <w:rPr>
        <w:rFonts w:ascii="Wingdings" w:hAnsi="Wingdings" w:hint="default"/>
      </w:rPr>
    </w:lvl>
    <w:lvl w:ilvl="3" w:tplc="04080001" w:tentative="1">
      <w:start w:val="1"/>
      <w:numFmt w:val="bullet"/>
      <w:lvlText w:val=""/>
      <w:lvlJc w:val="left"/>
      <w:pPr>
        <w:ind w:left="3118" w:hanging="360"/>
      </w:pPr>
      <w:rPr>
        <w:rFonts w:ascii="Symbol" w:hAnsi="Symbol" w:hint="default"/>
      </w:rPr>
    </w:lvl>
    <w:lvl w:ilvl="4" w:tplc="04080003" w:tentative="1">
      <w:start w:val="1"/>
      <w:numFmt w:val="bullet"/>
      <w:lvlText w:val="o"/>
      <w:lvlJc w:val="left"/>
      <w:pPr>
        <w:ind w:left="3838" w:hanging="360"/>
      </w:pPr>
      <w:rPr>
        <w:rFonts w:ascii="Courier New" w:hAnsi="Courier New" w:cs="Courier New" w:hint="default"/>
      </w:rPr>
    </w:lvl>
    <w:lvl w:ilvl="5" w:tplc="04080005" w:tentative="1">
      <w:start w:val="1"/>
      <w:numFmt w:val="bullet"/>
      <w:lvlText w:val=""/>
      <w:lvlJc w:val="left"/>
      <w:pPr>
        <w:ind w:left="4558" w:hanging="360"/>
      </w:pPr>
      <w:rPr>
        <w:rFonts w:ascii="Wingdings" w:hAnsi="Wingdings" w:hint="default"/>
      </w:rPr>
    </w:lvl>
    <w:lvl w:ilvl="6" w:tplc="04080001" w:tentative="1">
      <w:start w:val="1"/>
      <w:numFmt w:val="bullet"/>
      <w:lvlText w:val=""/>
      <w:lvlJc w:val="left"/>
      <w:pPr>
        <w:ind w:left="5278" w:hanging="360"/>
      </w:pPr>
      <w:rPr>
        <w:rFonts w:ascii="Symbol" w:hAnsi="Symbol" w:hint="default"/>
      </w:rPr>
    </w:lvl>
    <w:lvl w:ilvl="7" w:tplc="04080003" w:tentative="1">
      <w:start w:val="1"/>
      <w:numFmt w:val="bullet"/>
      <w:lvlText w:val="o"/>
      <w:lvlJc w:val="left"/>
      <w:pPr>
        <w:ind w:left="5998" w:hanging="360"/>
      </w:pPr>
      <w:rPr>
        <w:rFonts w:ascii="Courier New" w:hAnsi="Courier New" w:cs="Courier New" w:hint="default"/>
      </w:rPr>
    </w:lvl>
    <w:lvl w:ilvl="8" w:tplc="04080005" w:tentative="1">
      <w:start w:val="1"/>
      <w:numFmt w:val="bullet"/>
      <w:lvlText w:val=""/>
      <w:lvlJc w:val="left"/>
      <w:pPr>
        <w:ind w:left="6718" w:hanging="360"/>
      </w:pPr>
      <w:rPr>
        <w:rFonts w:ascii="Wingdings" w:hAnsi="Wingdings" w:hint="default"/>
      </w:rPr>
    </w:lvl>
  </w:abstractNum>
  <w:num w:numId="1" w16cid:durableId="803472071">
    <w:abstractNumId w:val="4"/>
  </w:num>
  <w:num w:numId="2" w16cid:durableId="1268083000">
    <w:abstractNumId w:val="5"/>
  </w:num>
  <w:num w:numId="3" w16cid:durableId="1193685241">
    <w:abstractNumId w:val="0"/>
  </w:num>
  <w:num w:numId="4" w16cid:durableId="310062470">
    <w:abstractNumId w:val="3"/>
  </w:num>
  <w:num w:numId="5" w16cid:durableId="174614005">
    <w:abstractNumId w:val="1"/>
  </w:num>
  <w:num w:numId="6" w16cid:durableId="7262204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96A"/>
    <w:rsid w:val="0001540C"/>
    <w:rsid w:val="000279E5"/>
    <w:rsid w:val="000379D1"/>
    <w:rsid w:val="000404FE"/>
    <w:rsid w:val="00043778"/>
    <w:rsid w:val="00043D2C"/>
    <w:rsid w:val="0005472A"/>
    <w:rsid w:val="000547B3"/>
    <w:rsid w:val="00071EFD"/>
    <w:rsid w:val="000859E3"/>
    <w:rsid w:val="0009227A"/>
    <w:rsid w:val="000B63D0"/>
    <w:rsid w:val="000E2016"/>
    <w:rsid w:val="000F2B8C"/>
    <w:rsid w:val="00133903"/>
    <w:rsid w:val="00135843"/>
    <w:rsid w:val="00193859"/>
    <w:rsid w:val="001A4A0C"/>
    <w:rsid w:val="001A5606"/>
    <w:rsid w:val="001B13DC"/>
    <w:rsid w:val="001C585A"/>
    <w:rsid w:val="001D2E34"/>
    <w:rsid w:val="001E6681"/>
    <w:rsid w:val="001F6038"/>
    <w:rsid w:val="0020384A"/>
    <w:rsid w:val="00206A8D"/>
    <w:rsid w:val="00230A06"/>
    <w:rsid w:val="00243E41"/>
    <w:rsid w:val="00245F35"/>
    <w:rsid w:val="00247372"/>
    <w:rsid w:val="0025417E"/>
    <w:rsid w:val="002572B3"/>
    <w:rsid w:val="0026041B"/>
    <w:rsid w:val="00261010"/>
    <w:rsid w:val="00263DE7"/>
    <w:rsid w:val="00267C9F"/>
    <w:rsid w:val="00280529"/>
    <w:rsid w:val="00285DC7"/>
    <w:rsid w:val="00287098"/>
    <w:rsid w:val="002A6948"/>
    <w:rsid w:val="002C0564"/>
    <w:rsid w:val="002D434F"/>
    <w:rsid w:val="002D4F66"/>
    <w:rsid w:val="002F5D80"/>
    <w:rsid w:val="002F6EA0"/>
    <w:rsid w:val="00316AB9"/>
    <w:rsid w:val="00326BB4"/>
    <w:rsid w:val="003325F3"/>
    <w:rsid w:val="00334456"/>
    <w:rsid w:val="00356EB4"/>
    <w:rsid w:val="003706E5"/>
    <w:rsid w:val="00370CC9"/>
    <w:rsid w:val="00375C39"/>
    <w:rsid w:val="003A1F5A"/>
    <w:rsid w:val="003A262F"/>
    <w:rsid w:val="003C3258"/>
    <w:rsid w:val="003D0CC4"/>
    <w:rsid w:val="003D704A"/>
    <w:rsid w:val="003D75FE"/>
    <w:rsid w:val="003E4AB1"/>
    <w:rsid w:val="003F6493"/>
    <w:rsid w:val="00426467"/>
    <w:rsid w:val="00431C73"/>
    <w:rsid w:val="0044100F"/>
    <w:rsid w:val="00457EFE"/>
    <w:rsid w:val="004A2E0C"/>
    <w:rsid w:val="004C54A6"/>
    <w:rsid w:val="004C7325"/>
    <w:rsid w:val="004D1A1B"/>
    <w:rsid w:val="004D6E0F"/>
    <w:rsid w:val="004F0057"/>
    <w:rsid w:val="0050376B"/>
    <w:rsid w:val="00562B6C"/>
    <w:rsid w:val="005777C5"/>
    <w:rsid w:val="00577DD0"/>
    <w:rsid w:val="00591846"/>
    <w:rsid w:val="00593E4B"/>
    <w:rsid w:val="005F7914"/>
    <w:rsid w:val="006025EA"/>
    <w:rsid w:val="00606179"/>
    <w:rsid w:val="00606CE4"/>
    <w:rsid w:val="0063566A"/>
    <w:rsid w:val="00650A1E"/>
    <w:rsid w:val="00652FA9"/>
    <w:rsid w:val="0066335B"/>
    <w:rsid w:val="00663751"/>
    <w:rsid w:val="00675457"/>
    <w:rsid w:val="00685EA2"/>
    <w:rsid w:val="006A382F"/>
    <w:rsid w:val="006F3CDF"/>
    <w:rsid w:val="00723FF3"/>
    <w:rsid w:val="00742BB6"/>
    <w:rsid w:val="00753D22"/>
    <w:rsid w:val="00761075"/>
    <w:rsid w:val="00781A72"/>
    <w:rsid w:val="00795711"/>
    <w:rsid w:val="007A39FE"/>
    <w:rsid w:val="007D6916"/>
    <w:rsid w:val="0080785C"/>
    <w:rsid w:val="00812119"/>
    <w:rsid w:val="008201E5"/>
    <w:rsid w:val="00823A3C"/>
    <w:rsid w:val="008309A2"/>
    <w:rsid w:val="008359F5"/>
    <w:rsid w:val="0084716B"/>
    <w:rsid w:val="00866A09"/>
    <w:rsid w:val="00876271"/>
    <w:rsid w:val="00891484"/>
    <w:rsid w:val="008D6E38"/>
    <w:rsid w:val="008E126A"/>
    <w:rsid w:val="008E1626"/>
    <w:rsid w:val="0091628B"/>
    <w:rsid w:val="009229A5"/>
    <w:rsid w:val="00942962"/>
    <w:rsid w:val="0094646D"/>
    <w:rsid w:val="0094669A"/>
    <w:rsid w:val="00952280"/>
    <w:rsid w:val="00974DE5"/>
    <w:rsid w:val="00990992"/>
    <w:rsid w:val="009A2D2A"/>
    <w:rsid w:val="009A4A71"/>
    <w:rsid w:val="009A5DB1"/>
    <w:rsid w:val="009B2D04"/>
    <w:rsid w:val="009D5D7D"/>
    <w:rsid w:val="009E49BF"/>
    <w:rsid w:val="009E5FA8"/>
    <w:rsid w:val="00A06878"/>
    <w:rsid w:val="00A0774B"/>
    <w:rsid w:val="00A11333"/>
    <w:rsid w:val="00A3096A"/>
    <w:rsid w:val="00A70EF5"/>
    <w:rsid w:val="00A76AB5"/>
    <w:rsid w:val="00A80DC4"/>
    <w:rsid w:val="00A942B7"/>
    <w:rsid w:val="00AD5BF6"/>
    <w:rsid w:val="00AD78CE"/>
    <w:rsid w:val="00AE5DEE"/>
    <w:rsid w:val="00AF7E7E"/>
    <w:rsid w:val="00B1661C"/>
    <w:rsid w:val="00B2488C"/>
    <w:rsid w:val="00B45AAE"/>
    <w:rsid w:val="00B53453"/>
    <w:rsid w:val="00B60A6E"/>
    <w:rsid w:val="00B93BBC"/>
    <w:rsid w:val="00C0391F"/>
    <w:rsid w:val="00C07123"/>
    <w:rsid w:val="00C16C3A"/>
    <w:rsid w:val="00C47877"/>
    <w:rsid w:val="00C47D25"/>
    <w:rsid w:val="00C571F9"/>
    <w:rsid w:val="00C57A3A"/>
    <w:rsid w:val="00C57C22"/>
    <w:rsid w:val="00C6446D"/>
    <w:rsid w:val="00C905C6"/>
    <w:rsid w:val="00C9359A"/>
    <w:rsid w:val="00C97A27"/>
    <w:rsid w:val="00CB613C"/>
    <w:rsid w:val="00CD0489"/>
    <w:rsid w:val="00CD5673"/>
    <w:rsid w:val="00D03160"/>
    <w:rsid w:val="00D4552B"/>
    <w:rsid w:val="00D5658E"/>
    <w:rsid w:val="00D63B43"/>
    <w:rsid w:val="00D77623"/>
    <w:rsid w:val="00D9627A"/>
    <w:rsid w:val="00D97AB7"/>
    <w:rsid w:val="00DE66CC"/>
    <w:rsid w:val="00E11148"/>
    <w:rsid w:val="00E16E85"/>
    <w:rsid w:val="00E203C6"/>
    <w:rsid w:val="00E33952"/>
    <w:rsid w:val="00E33D14"/>
    <w:rsid w:val="00E33F5F"/>
    <w:rsid w:val="00E51004"/>
    <w:rsid w:val="00E60F37"/>
    <w:rsid w:val="00E75523"/>
    <w:rsid w:val="00E82406"/>
    <w:rsid w:val="00E8722D"/>
    <w:rsid w:val="00EA2063"/>
    <w:rsid w:val="00EC5875"/>
    <w:rsid w:val="00EC6DC9"/>
    <w:rsid w:val="00ED38E2"/>
    <w:rsid w:val="00EE5852"/>
    <w:rsid w:val="00F0360B"/>
    <w:rsid w:val="00F57D8A"/>
    <w:rsid w:val="00FA67F0"/>
    <w:rsid w:val="00FD6FF1"/>
    <w:rsid w:val="00FE7FAA"/>
    <w:rsid w:val="00FF1F2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B4D25E"/>
  <w15:docId w15:val="{565994C0-EEDF-442B-B181-893C68645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Calibri" w:eastAsia="Calibri" w:hAnsi="Calibri" w:cs="Calibri"/>
      <w:lang w:val="el-GR"/>
    </w:rPr>
  </w:style>
  <w:style w:type="paragraph" w:styleId="1">
    <w:name w:val="heading 1"/>
    <w:basedOn w:val="a"/>
    <w:uiPriority w:val="9"/>
    <w:qFormat/>
    <w:pPr>
      <w:spacing w:before="19"/>
      <w:ind w:left="20"/>
      <w:outlineLvl w:val="0"/>
    </w:pPr>
    <w:rPr>
      <w:rFonts w:ascii="Cambria" w:eastAsia="Cambria" w:hAnsi="Cambria" w:cs="Cambria"/>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Char"/>
    <w:uiPriority w:val="1"/>
    <w:qFormat/>
    <w:pPr>
      <w:ind w:left="238"/>
    </w:pPr>
  </w:style>
  <w:style w:type="paragraph" w:styleId="a4">
    <w:name w:val="Title"/>
    <w:basedOn w:val="a"/>
    <w:uiPriority w:val="10"/>
    <w:qFormat/>
    <w:pPr>
      <w:ind w:left="145"/>
      <w:jc w:val="center"/>
    </w:pPr>
    <w:rPr>
      <w:b/>
      <w:bCs/>
      <w:sz w:val="28"/>
      <w:szCs w:val="28"/>
    </w:rPr>
  </w:style>
  <w:style w:type="paragraph" w:styleId="a5">
    <w:name w:val="List Paragraph"/>
    <w:basedOn w:val="a"/>
    <w:uiPriority w:val="1"/>
    <w:qFormat/>
    <w:pPr>
      <w:ind w:left="346" w:hanging="324"/>
    </w:pPr>
  </w:style>
  <w:style w:type="paragraph" w:customStyle="1" w:styleId="TableParagraph">
    <w:name w:val="Table Paragraph"/>
    <w:basedOn w:val="a"/>
    <w:uiPriority w:val="1"/>
    <w:qFormat/>
    <w:pPr>
      <w:jc w:val="center"/>
    </w:pPr>
  </w:style>
  <w:style w:type="paragraph" w:styleId="a6">
    <w:name w:val="header"/>
    <w:basedOn w:val="a"/>
    <w:link w:val="Char0"/>
    <w:uiPriority w:val="99"/>
    <w:unhideWhenUsed/>
    <w:rsid w:val="00B60A6E"/>
    <w:pPr>
      <w:tabs>
        <w:tab w:val="center" w:pos="4153"/>
        <w:tab w:val="right" w:pos="8306"/>
      </w:tabs>
    </w:pPr>
  </w:style>
  <w:style w:type="character" w:customStyle="1" w:styleId="Char0">
    <w:name w:val="Κεφαλίδα Char"/>
    <w:basedOn w:val="a0"/>
    <w:link w:val="a6"/>
    <w:uiPriority w:val="99"/>
    <w:rsid w:val="00B60A6E"/>
    <w:rPr>
      <w:rFonts w:ascii="Calibri" w:eastAsia="Calibri" w:hAnsi="Calibri" w:cs="Calibri"/>
      <w:lang w:val="el-GR"/>
    </w:rPr>
  </w:style>
  <w:style w:type="paragraph" w:styleId="a7">
    <w:name w:val="footer"/>
    <w:basedOn w:val="a"/>
    <w:link w:val="Char1"/>
    <w:uiPriority w:val="99"/>
    <w:unhideWhenUsed/>
    <w:rsid w:val="00B60A6E"/>
    <w:pPr>
      <w:tabs>
        <w:tab w:val="center" w:pos="4153"/>
        <w:tab w:val="right" w:pos="8306"/>
      </w:tabs>
    </w:pPr>
  </w:style>
  <w:style w:type="character" w:customStyle="1" w:styleId="Char1">
    <w:name w:val="Υποσέλιδο Char"/>
    <w:basedOn w:val="a0"/>
    <w:link w:val="a7"/>
    <w:uiPriority w:val="99"/>
    <w:rsid w:val="00B60A6E"/>
    <w:rPr>
      <w:rFonts w:ascii="Calibri" w:eastAsia="Calibri" w:hAnsi="Calibri" w:cs="Calibri"/>
      <w:lang w:val="el-GR"/>
    </w:rPr>
  </w:style>
  <w:style w:type="character" w:styleId="-">
    <w:name w:val="Hyperlink"/>
    <w:basedOn w:val="a0"/>
    <w:uiPriority w:val="99"/>
    <w:unhideWhenUsed/>
    <w:rsid w:val="00942962"/>
    <w:rPr>
      <w:color w:val="0000FF" w:themeColor="hyperlink"/>
      <w:u w:val="single"/>
    </w:rPr>
  </w:style>
  <w:style w:type="character" w:styleId="a8">
    <w:name w:val="Unresolved Mention"/>
    <w:basedOn w:val="a0"/>
    <w:uiPriority w:val="99"/>
    <w:semiHidden/>
    <w:unhideWhenUsed/>
    <w:rsid w:val="00942962"/>
    <w:rPr>
      <w:color w:val="605E5C"/>
      <w:shd w:val="clear" w:color="auto" w:fill="E1DFDD"/>
    </w:rPr>
  </w:style>
  <w:style w:type="character" w:customStyle="1" w:styleId="Char">
    <w:name w:val="Σώμα κειμένου Char"/>
    <w:basedOn w:val="a0"/>
    <w:link w:val="a3"/>
    <w:uiPriority w:val="1"/>
    <w:rsid w:val="00742BB6"/>
    <w:rPr>
      <w:rFonts w:ascii="Calibri" w:eastAsia="Calibri" w:hAnsi="Calibri" w:cs="Calibri"/>
      <w:lang w:val="el-GR"/>
    </w:rPr>
  </w:style>
  <w:style w:type="character" w:styleId="a9">
    <w:name w:val="Strong"/>
    <w:basedOn w:val="a0"/>
    <w:uiPriority w:val="22"/>
    <w:qFormat/>
    <w:rsid w:val="003D0CC4"/>
    <w:rPr>
      <w:b/>
      <w:bCs/>
    </w:rPr>
  </w:style>
  <w:style w:type="paragraph" w:styleId="Web">
    <w:name w:val="Normal (Web)"/>
    <w:basedOn w:val="a"/>
    <w:uiPriority w:val="99"/>
    <w:semiHidden/>
    <w:unhideWhenUsed/>
    <w:rsid w:val="00E33D14"/>
    <w:pPr>
      <w:widowControl/>
      <w:autoSpaceDE/>
      <w:autoSpaceDN/>
      <w:spacing w:before="100" w:beforeAutospacing="1" w:after="100" w:afterAutospacing="1"/>
    </w:pPr>
    <w:rPr>
      <w:rFonts w:ascii="Times New Roman" w:eastAsia="Times New Roman" w:hAnsi="Times New Roman" w:cs="Times New Roman"/>
      <w:sz w:val="24"/>
      <w:szCs w:val="24"/>
      <w:lang w:eastAsia="el-GR"/>
    </w:rPr>
  </w:style>
  <w:style w:type="character" w:styleId="aa">
    <w:name w:val="Emphasis"/>
    <w:basedOn w:val="a0"/>
    <w:uiPriority w:val="20"/>
    <w:qFormat/>
    <w:rsid w:val="00E33D1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ina_z@windowslive.com" TargetMode="External"/><Relationship Id="rId13" Type="http://schemas.openxmlformats.org/officeDocument/2006/relationships/image" Target="media/image1.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https://docs.google.com/forms/d/1Lt9CLWQYhZDZ8DeC7YlueItmaetRqIwnUJxz8fZ3Vq8/edit?hl=EL"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docs.google.com/forms/d/e/1FAIpQLSeHlJonmj4j1IJc5Pz0UZhPjo_mQT4CmhWp2K08hFLpi7ef2A/viewform"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BBED06-F403-4575-962E-FDE628059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13</Pages>
  <Words>6228</Words>
  <Characters>33633</Characters>
  <Application>Microsoft Office Word</Application>
  <DocSecurity>0</DocSecurity>
  <Lines>280</Lines>
  <Paragraphs>79</Paragraphs>
  <ScaleCrop>false</ScaleCrop>
  <HeadingPairs>
    <vt:vector size="2" baseType="variant">
      <vt:variant>
        <vt:lpstr>Τίτλος</vt:lpstr>
      </vt:variant>
      <vt:variant>
        <vt:i4>1</vt:i4>
      </vt:variant>
    </vt:vector>
  </HeadingPairs>
  <TitlesOfParts>
    <vt:vector size="1" baseType="lpstr">
      <vt:lpstr>IJEI_VOL6(2024)_ISSUE4GR</vt:lpstr>
    </vt:vector>
  </TitlesOfParts>
  <Company/>
  <LinksUpToDate>false</LinksUpToDate>
  <CharactersWithSpaces>39782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IJEI_VOL6(2024)_ISSUE4GR</dc:title>
  <dc:creator>ΕΕΠΕΚ</dc:creator>
  <cp:lastModifiedBy>Ελίνα Ζώτου</cp:lastModifiedBy>
  <cp:revision>58</cp:revision>
  <dcterms:created xsi:type="dcterms:W3CDTF">2026-01-05T05:19:00Z</dcterms:created>
  <dcterms:modified xsi:type="dcterms:W3CDTF">2026-01-05T08:04:00Z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2025-01-19T00:00:00Z</vt:filetime>
  </property>
  <property fmtid="{D5CDD505-2E9C-101B-9397-08002B2CF9AE}" pid="3" name="Creator">
    <vt:lpwstr>PScript5.dll Version 5.2.2</vt:lpwstr>
  </property>
  <property fmtid="{D5CDD505-2E9C-101B-9397-08002B2CF9AE}" pid="4" name="LastSaved">
    <vt:filetime>2025-09-24T00:00:00Z</vt:filetime>
  </property>
  <property fmtid="{D5CDD505-2E9C-101B-9397-08002B2CF9AE}" pid="5" name="Producer">
    <vt:lpwstr>Acrobat Distiller 10.1.16 (Windows)</vt:lpwstr>
  </property>
</Properties>
</file>